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00C7D" w14:textId="4EA049CA" w:rsidR="009B1989" w:rsidRPr="001E489E" w:rsidRDefault="009B1989" w:rsidP="009B1989">
      <w:pPr>
        <w:spacing w:after="0" w:line="240" w:lineRule="auto"/>
        <w:rPr>
          <w:sz w:val="22"/>
          <w:szCs w:val="22"/>
          <w:lang w:val="fr-CA"/>
        </w:rPr>
      </w:pPr>
      <w:r w:rsidRPr="001E489E">
        <w:rPr>
          <w:b/>
          <w:bCs/>
          <w:sz w:val="22"/>
          <w:szCs w:val="22"/>
          <w:lang w:val="fr-CA"/>
        </w:rPr>
        <w:t>Date</w:t>
      </w:r>
      <w:r w:rsidR="001E489E" w:rsidRPr="001E489E">
        <w:rPr>
          <w:b/>
          <w:bCs/>
          <w:sz w:val="22"/>
          <w:szCs w:val="22"/>
          <w:lang w:val="fr-CA"/>
        </w:rPr>
        <w:t xml:space="preserve"> </w:t>
      </w:r>
      <w:r w:rsidRPr="001E489E">
        <w:rPr>
          <w:sz w:val="22"/>
          <w:szCs w:val="22"/>
          <w:lang w:val="fr-CA"/>
        </w:rPr>
        <w:t>: 2</w:t>
      </w:r>
      <w:r w:rsidR="001E489E" w:rsidRPr="001E489E">
        <w:rPr>
          <w:sz w:val="22"/>
          <w:szCs w:val="22"/>
          <w:lang w:val="fr-CA"/>
        </w:rPr>
        <w:t xml:space="preserve"> décembre</w:t>
      </w:r>
      <w:r w:rsidRPr="001E489E">
        <w:rPr>
          <w:sz w:val="22"/>
          <w:szCs w:val="22"/>
          <w:lang w:val="fr-CA"/>
        </w:rPr>
        <w:t xml:space="preserve"> 2025</w:t>
      </w:r>
    </w:p>
    <w:p w14:paraId="286A5477" w14:textId="77777777" w:rsidR="009B1989" w:rsidRPr="001E489E" w:rsidRDefault="009B1989" w:rsidP="009B1989">
      <w:pPr>
        <w:spacing w:after="0" w:line="240" w:lineRule="auto"/>
        <w:jc w:val="center"/>
        <w:rPr>
          <w:b/>
          <w:bCs/>
          <w:sz w:val="28"/>
          <w:szCs w:val="28"/>
          <w:lang w:val="fr-CA"/>
        </w:rPr>
      </w:pPr>
    </w:p>
    <w:p w14:paraId="1A341406" w14:textId="3C8F7943" w:rsidR="009B1989" w:rsidRPr="001E489E" w:rsidRDefault="001E489E" w:rsidP="009B1989">
      <w:pPr>
        <w:spacing w:after="0" w:line="240" w:lineRule="auto"/>
        <w:jc w:val="center"/>
        <w:rPr>
          <w:b/>
          <w:bCs/>
          <w:lang w:val="fr-CA"/>
        </w:rPr>
      </w:pPr>
      <w:r w:rsidRPr="001E489E">
        <w:rPr>
          <w:b/>
          <w:bCs/>
          <w:lang w:val="fr-CA"/>
        </w:rPr>
        <w:t>SAISIE DE 386 K</w:t>
      </w:r>
      <w:r w:rsidR="000D6A42">
        <w:rPr>
          <w:b/>
          <w:bCs/>
          <w:lang w:val="fr-CA"/>
        </w:rPr>
        <w:t>ILOGRAMMES</w:t>
      </w:r>
      <w:r w:rsidRPr="001E489E">
        <w:rPr>
          <w:b/>
          <w:bCs/>
          <w:lang w:val="fr-CA"/>
        </w:rPr>
        <w:t xml:space="preserve"> DE FENTANYL </w:t>
      </w:r>
      <w:r>
        <w:rPr>
          <w:b/>
          <w:bCs/>
          <w:lang w:val="fr-CA"/>
        </w:rPr>
        <w:t xml:space="preserve">DANS LE CADRE D’UNE INITIATIVE </w:t>
      </w:r>
      <w:r w:rsidR="000D6A42">
        <w:rPr>
          <w:b/>
          <w:bCs/>
          <w:lang w:val="fr-CA"/>
        </w:rPr>
        <w:t>COORDONNÉE</w:t>
      </w:r>
      <w:r>
        <w:rPr>
          <w:b/>
          <w:bCs/>
          <w:lang w:val="fr-CA"/>
        </w:rPr>
        <w:t xml:space="preserve"> PAR LA RÉPONSE INTÉGRÉE CANADIENNE AU CRIME ORGANISÉ</w:t>
      </w:r>
      <w:r w:rsidR="009B1989" w:rsidRPr="001E489E">
        <w:rPr>
          <w:b/>
          <w:bCs/>
          <w:lang w:val="fr-CA"/>
        </w:rPr>
        <w:t xml:space="preserve"> </w:t>
      </w:r>
    </w:p>
    <w:p w14:paraId="5AF0F050" w14:textId="77777777" w:rsidR="009B1989" w:rsidRPr="001E489E" w:rsidRDefault="009B1989" w:rsidP="009B1989">
      <w:pPr>
        <w:spacing w:after="0" w:line="240" w:lineRule="auto"/>
        <w:rPr>
          <w:lang w:val="fr-CA"/>
        </w:rPr>
      </w:pPr>
    </w:p>
    <w:p w14:paraId="68400780" w14:textId="076805EC" w:rsidR="009B1989" w:rsidRPr="00E12F65" w:rsidRDefault="009B1989" w:rsidP="009B1989">
      <w:pPr>
        <w:spacing w:after="0" w:line="240" w:lineRule="auto"/>
        <w:rPr>
          <w:sz w:val="22"/>
          <w:szCs w:val="22"/>
          <w:lang w:val="fr-CA"/>
        </w:rPr>
      </w:pPr>
      <w:r w:rsidRPr="001E489E">
        <w:rPr>
          <w:b/>
          <w:bCs/>
          <w:sz w:val="22"/>
          <w:szCs w:val="22"/>
          <w:lang w:val="fr-CA"/>
        </w:rPr>
        <w:t>(</w:t>
      </w:r>
      <w:r w:rsidR="0062089D" w:rsidRPr="001E489E">
        <w:rPr>
          <w:b/>
          <w:bCs/>
          <w:sz w:val="22"/>
          <w:szCs w:val="22"/>
          <w:lang w:val="fr-CA"/>
        </w:rPr>
        <w:t>Ottawa, O</w:t>
      </w:r>
      <w:r w:rsidR="001E489E" w:rsidRPr="001E489E">
        <w:rPr>
          <w:b/>
          <w:bCs/>
          <w:sz w:val="22"/>
          <w:szCs w:val="22"/>
          <w:lang w:val="fr-CA"/>
        </w:rPr>
        <w:t>ntario</w:t>
      </w:r>
      <w:r w:rsidRPr="001E489E">
        <w:rPr>
          <w:b/>
          <w:bCs/>
          <w:sz w:val="22"/>
          <w:szCs w:val="22"/>
          <w:lang w:val="fr-CA"/>
        </w:rPr>
        <w:t xml:space="preserve">) </w:t>
      </w:r>
      <w:r w:rsidR="001E489E" w:rsidRPr="001E489E">
        <w:rPr>
          <w:b/>
          <w:bCs/>
          <w:sz w:val="22"/>
          <w:szCs w:val="22"/>
          <w:lang w:val="fr-CA"/>
        </w:rPr>
        <w:t>–</w:t>
      </w:r>
      <w:r w:rsidRPr="001E489E">
        <w:rPr>
          <w:sz w:val="22"/>
          <w:szCs w:val="22"/>
          <w:lang w:val="fr-CA"/>
        </w:rPr>
        <w:t> </w:t>
      </w:r>
      <w:r w:rsidR="00EE05A7">
        <w:rPr>
          <w:sz w:val="22"/>
          <w:szCs w:val="22"/>
          <w:lang w:val="fr-CA"/>
        </w:rPr>
        <w:t>Vingt et un</w:t>
      </w:r>
      <w:r w:rsidR="001E489E" w:rsidRPr="001E489E">
        <w:rPr>
          <w:sz w:val="22"/>
          <w:szCs w:val="22"/>
          <w:lang w:val="fr-CA"/>
        </w:rPr>
        <w:t xml:space="preserve"> organismes </w:t>
      </w:r>
      <w:r w:rsidR="00FA7BEC">
        <w:rPr>
          <w:sz w:val="22"/>
          <w:szCs w:val="22"/>
          <w:lang w:val="fr-CA"/>
        </w:rPr>
        <w:t xml:space="preserve">canadiens </w:t>
      </w:r>
      <w:r w:rsidR="001E489E" w:rsidRPr="001E489E">
        <w:rPr>
          <w:sz w:val="22"/>
          <w:szCs w:val="22"/>
          <w:lang w:val="fr-CA"/>
        </w:rPr>
        <w:t>d’application de la loi</w:t>
      </w:r>
      <w:r w:rsidR="00FA7BEC">
        <w:rPr>
          <w:sz w:val="22"/>
          <w:szCs w:val="22"/>
          <w:lang w:val="fr-CA"/>
        </w:rPr>
        <w:t xml:space="preserve"> et du gouvernement</w:t>
      </w:r>
      <w:r w:rsidR="001E489E" w:rsidRPr="001E489E">
        <w:rPr>
          <w:sz w:val="22"/>
          <w:szCs w:val="22"/>
          <w:lang w:val="fr-CA"/>
        </w:rPr>
        <w:t xml:space="preserve"> ont uni leurs forc</w:t>
      </w:r>
      <w:r w:rsidR="001E489E">
        <w:rPr>
          <w:sz w:val="22"/>
          <w:szCs w:val="22"/>
          <w:lang w:val="fr-CA"/>
        </w:rPr>
        <w:t xml:space="preserve">es pour </w:t>
      </w:r>
      <w:r w:rsidRPr="001E489E">
        <w:rPr>
          <w:sz w:val="22"/>
          <w:szCs w:val="22"/>
          <w:lang w:val="fr-CA"/>
        </w:rPr>
        <w:t>intensif</w:t>
      </w:r>
      <w:r w:rsidR="001E489E">
        <w:rPr>
          <w:sz w:val="22"/>
          <w:szCs w:val="22"/>
          <w:lang w:val="fr-CA"/>
        </w:rPr>
        <w:t>ier leurs</w:t>
      </w:r>
      <w:r w:rsidRPr="001E489E">
        <w:rPr>
          <w:sz w:val="22"/>
          <w:szCs w:val="22"/>
          <w:lang w:val="fr-CA"/>
        </w:rPr>
        <w:t xml:space="preserve"> efforts </w:t>
      </w:r>
      <w:r w:rsidR="001E489E">
        <w:rPr>
          <w:sz w:val="22"/>
          <w:szCs w:val="22"/>
          <w:lang w:val="fr-CA"/>
        </w:rPr>
        <w:t xml:space="preserve">visant à éviter que des </w:t>
      </w:r>
      <w:r w:rsidRPr="001E489E">
        <w:rPr>
          <w:sz w:val="22"/>
          <w:szCs w:val="22"/>
          <w:lang w:val="fr-CA"/>
        </w:rPr>
        <w:t xml:space="preserve">substances </w:t>
      </w:r>
      <w:r w:rsidR="001E489E">
        <w:rPr>
          <w:sz w:val="22"/>
          <w:szCs w:val="22"/>
          <w:lang w:val="fr-CA"/>
        </w:rPr>
        <w:t>dangereuses se retrouvent dans nos communautés</w:t>
      </w:r>
      <w:r w:rsidRPr="001E489E">
        <w:rPr>
          <w:sz w:val="22"/>
          <w:szCs w:val="22"/>
          <w:lang w:val="fr-CA"/>
        </w:rPr>
        <w:t xml:space="preserve">. </w:t>
      </w:r>
      <w:r w:rsidR="001E489E" w:rsidRPr="001E489E">
        <w:rPr>
          <w:sz w:val="22"/>
          <w:szCs w:val="22"/>
          <w:lang w:val="fr-CA"/>
        </w:rPr>
        <w:t>Pendant cinq mois</w:t>
      </w:r>
      <w:r w:rsidRPr="001E489E">
        <w:rPr>
          <w:sz w:val="22"/>
          <w:szCs w:val="22"/>
          <w:lang w:val="fr-CA"/>
        </w:rPr>
        <w:t>, </w:t>
      </w:r>
      <w:r w:rsidR="001E489E">
        <w:rPr>
          <w:sz w:val="22"/>
          <w:szCs w:val="22"/>
          <w:lang w:val="fr-CA"/>
        </w:rPr>
        <w:t>c</w:t>
      </w:r>
      <w:r w:rsidR="001E489E" w:rsidRPr="009B12DD">
        <w:rPr>
          <w:sz w:val="22"/>
          <w:szCs w:val="22"/>
          <w:lang w:val="fr-CA"/>
        </w:rPr>
        <w:t xml:space="preserve">es partenaires ont collaboré dans le but commun de </w:t>
      </w:r>
      <w:r w:rsidR="001E489E">
        <w:rPr>
          <w:sz w:val="22"/>
          <w:szCs w:val="22"/>
          <w:lang w:val="fr-CA"/>
        </w:rPr>
        <w:t xml:space="preserve">perturber les activités </w:t>
      </w:r>
      <w:r w:rsidR="002F116E">
        <w:rPr>
          <w:sz w:val="22"/>
          <w:szCs w:val="22"/>
          <w:lang w:val="fr-CA"/>
        </w:rPr>
        <w:t xml:space="preserve">illégales </w:t>
      </w:r>
      <w:r w:rsidR="001E489E">
        <w:rPr>
          <w:sz w:val="22"/>
          <w:szCs w:val="22"/>
          <w:lang w:val="fr-CA"/>
        </w:rPr>
        <w:t xml:space="preserve">de </w:t>
      </w:r>
      <w:r w:rsidRPr="001E489E">
        <w:rPr>
          <w:sz w:val="22"/>
          <w:szCs w:val="22"/>
          <w:lang w:val="fr-CA"/>
        </w:rPr>
        <w:t xml:space="preserve">production </w:t>
      </w:r>
      <w:r w:rsidR="001E489E">
        <w:rPr>
          <w:sz w:val="22"/>
          <w:szCs w:val="22"/>
          <w:lang w:val="fr-CA"/>
        </w:rPr>
        <w:t>et de</w:t>
      </w:r>
      <w:r w:rsidRPr="001E489E">
        <w:rPr>
          <w:sz w:val="22"/>
          <w:szCs w:val="22"/>
          <w:lang w:val="fr-CA"/>
        </w:rPr>
        <w:t xml:space="preserve"> distribution</w:t>
      </w:r>
      <w:r w:rsidR="001E489E">
        <w:rPr>
          <w:sz w:val="22"/>
          <w:szCs w:val="22"/>
          <w:lang w:val="fr-CA"/>
        </w:rPr>
        <w:t xml:space="preserve"> de fentanyl au</w:t>
      </w:r>
      <w:r w:rsidRPr="001E489E">
        <w:rPr>
          <w:sz w:val="22"/>
          <w:szCs w:val="22"/>
          <w:lang w:val="fr-CA"/>
        </w:rPr>
        <w:t xml:space="preserve"> Canada. </w:t>
      </w:r>
      <w:r w:rsidR="00E12F65" w:rsidRPr="00E12F65">
        <w:rPr>
          <w:sz w:val="22"/>
          <w:szCs w:val="22"/>
          <w:lang w:val="fr-CA"/>
        </w:rPr>
        <w:t>Cette</w:t>
      </w:r>
      <w:r w:rsidRPr="00E12F65">
        <w:rPr>
          <w:sz w:val="22"/>
          <w:szCs w:val="22"/>
          <w:lang w:val="fr-CA"/>
        </w:rPr>
        <w:t xml:space="preserve"> initiative, </w:t>
      </w:r>
      <w:r w:rsidR="00E12F65" w:rsidRPr="00E12F65">
        <w:rPr>
          <w:sz w:val="22"/>
          <w:szCs w:val="22"/>
          <w:lang w:val="fr-CA"/>
        </w:rPr>
        <w:t xml:space="preserve">appelée la </w:t>
      </w:r>
      <w:r w:rsidR="000D6A42">
        <w:rPr>
          <w:sz w:val="22"/>
          <w:szCs w:val="22"/>
          <w:lang w:val="fr-CA"/>
        </w:rPr>
        <w:t>Campagne de lutte contre le</w:t>
      </w:r>
      <w:r w:rsidR="00E12F65" w:rsidRPr="00E12F65">
        <w:rPr>
          <w:sz w:val="22"/>
          <w:szCs w:val="22"/>
          <w:lang w:val="fr-CA"/>
        </w:rPr>
        <w:t xml:space="preserve"> f</w:t>
      </w:r>
      <w:r w:rsidRPr="00E12F65">
        <w:rPr>
          <w:sz w:val="22"/>
          <w:szCs w:val="22"/>
          <w:lang w:val="fr-CA"/>
        </w:rPr>
        <w:t>entanyl</w:t>
      </w:r>
      <w:r w:rsidR="00E12F65" w:rsidRPr="00E12F65">
        <w:rPr>
          <w:sz w:val="22"/>
          <w:szCs w:val="22"/>
          <w:lang w:val="fr-CA"/>
        </w:rPr>
        <w:t> </w:t>
      </w:r>
      <w:r w:rsidRPr="00E12F65">
        <w:rPr>
          <w:sz w:val="22"/>
          <w:szCs w:val="22"/>
          <w:lang w:val="fr-CA"/>
        </w:rPr>
        <w:t>2.0 (</w:t>
      </w:r>
      <w:r w:rsidR="00E12F65" w:rsidRPr="00E12F65">
        <w:rPr>
          <w:sz w:val="22"/>
          <w:szCs w:val="22"/>
          <w:lang w:val="fr-CA"/>
        </w:rPr>
        <w:t xml:space="preserve">ou la </w:t>
      </w:r>
      <w:r w:rsidR="000D6A42">
        <w:rPr>
          <w:sz w:val="22"/>
          <w:szCs w:val="22"/>
          <w:lang w:val="fr-CA"/>
        </w:rPr>
        <w:t>Campagne</w:t>
      </w:r>
      <w:r w:rsidR="00E12F65" w:rsidRPr="00E12F65">
        <w:rPr>
          <w:sz w:val="22"/>
          <w:szCs w:val="22"/>
          <w:lang w:val="fr-CA"/>
        </w:rPr>
        <w:t> </w:t>
      </w:r>
      <w:r w:rsidRPr="00E12F65">
        <w:rPr>
          <w:sz w:val="22"/>
          <w:szCs w:val="22"/>
          <w:lang w:val="fr-CA"/>
        </w:rPr>
        <w:t>2.0)</w:t>
      </w:r>
      <w:r w:rsidR="00E12F65" w:rsidRPr="00E12F65">
        <w:rPr>
          <w:sz w:val="22"/>
          <w:szCs w:val="22"/>
          <w:lang w:val="fr-CA"/>
        </w:rPr>
        <w:t xml:space="preserve">, a été coordonnée par la Réponse intégrée canadienne au crime organisé (RICCO) </w:t>
      </w:r>
      <w:r w:rsidR="00E12F65">
        <w:rPr>
          <w:sz w:val="22"/>
          <w:szCs w:val="22"/>
          <w:lang w:val="fr-CA"/>
        </w:rPr>
        <w:t xml:space="preserve">et a mené à la saisie de </w:t>
      </w:r>
      <w:r w:rsidRPr="00E12F65">
        <w:rPr>
          <w:sz w:val="22"/>
          <w:szCs w:val="22"/>
          <w:lang w:val="fr-CA"/>
        </w:rPr>
        <w:t>386</w:t>
      </w:r>
      <w:r w:rsidR="00E12F65">
        <w:rPr>
          <w:sz w:val="22"/>
          <w:szCs w:val="22"/>
          <w:lang w:val="fr-CA"/>
        </w:rPr>
        <w:t> </w:t>
      </w:r>
      <w:r w:rsidRPr="00E12F65">
        <w:rPr>
          <w:sz w:val="22"/>
          <w:szCs w:val="22"/>
          <w:lang w:val="fr-CA"/>
        </w:rPr>
        <w:t>k</w:t>
      </w:r>
      <w:r w:rsidR="002F116E">
        <w:rPr>
          <w:sz w:val="22"/>
          <w:szCs w:val="22"/>
          <w:lang w:val="fr-CA"/>
        </w:rPr>
        <w:t>g</w:t>
      </w:r>
      <w:r w:rsidRPr="00E12F65">
        <w:rPr>
          <w:sz w:val="22"/>
          <w:szCs w:val="22"/>
          <w:lang w:val="fr-CA"/>
        </w:rPr>
        <w:t xml:space="preserve"> </w:t>
      </w:r>
      <w:r w:rsidR="00E12F65">
        <w:rPr>
          <w:sz w:val="22"/>
          <w:szCs w:val="22"/>
          <w:lang w:val="fr-CA"/>
        </w:rPr>
        <w:t>de</w:t>
      </w:r>
      <w:r w:rsidRPr="00E12F65">
        <w:rPr>
          <w:sz w:val="22"/>
          <w:szCs w:val="22"/>
          <w:lang w:val="fr-CA"/>
        </w:rPr>
        <w:t xml:space="preserve"> fentanyl</w:t>
      </w:r>
      <w:r w:rsidR="00E12F65">
        <w:rPr>
          <w:sz w:val="22"/>
          <w:szCs w:val="22"/>
          <w:lang w:val="fr-CA"/>
        </w:rPr>
        <w:t xml:space="preserve"> et d</w:t>
      </w:r>
      <w:r w:rsidR="00EE05A7">
        <w:rPr>
          <w:sz w:val="22"/>
          <w:szCs w:val="22"/>
          <w:lang w:val="fr-CA"/>
        </w:rPr>
        <w:t>’importantes</w:t>
      </w:r>
      <w:r w:rsidR="00E12F65">
        <w:rPr>
          <w:sz w:val="22"/>
          <w:szCs w:val="22"/>
          <w:lang w:val="fr-CA"/>
        </w:rPr>
        <w:t xml:space="preserve"> quantités d’autres drogues i</w:t>
      </w:r>
      <w:r w:rsidRPr="00E12F65">
        <w:rPr>
          <w:sz w:val="22"/>
          <w:szCs w:val="22"/>
          <w:lang w:val="fr-CA"/>
        </w:rPr>
        <w:t>llicit</w:t>
      </w:r>
      <w:r w:rsidR="00E12F65">
        <w:rPr>
          <w:sz w:val="22"/>
          <w:szCs w:val="22"/>
          <w:lang w:val="fr-CA"/>
        </w:rPr>
        <w:t xml:space="preserve">es ainsi qu’à </w:t>
      </w:r>
      <w:r w:rsidRPr="00E12F65">
        <w:rPr>
          <w:sz w:val="22"/>
          <w:szCs w:val="22"/>
          <w:lang w:val="fr-CA"/>
        </w:rPr>
        <w:t>8</w:t>
      </w:r>
      <w:r w:rsidR="00E12F65">
        <w:rPr>
          <w:sz w:val="22"/>
          <w:szCs w:val="22"/>
          <w:lang w:val="fr-CA"/>
        </w:rPr>
        <w:t> </w:t>
      </w:r>
      <w:r w:rsidRPr="00E12F65">
        <w:rPr>
          <w:sz w:val="22"/>
          <w:szCs w:val="22"/>
          <w:lang w:val="fr-CA"/>
        </w:rPr>
        <w:t>136</w:t>
      </w:r>
      <w:r w:rsidR="00E12F65">
        <w:rPr>
          <w:sz w:val="22"/>
          <w:szCs w:val="22"/>
          <w:lang w:val="fr-CA"/>
        </w:rPr>
        <w:t> </w:t>
      </w:r>
      <w:r w:rsidRPr="00E12F65">
        <w:rPr>
          <w:sz w:val="22"/>
          <w:szCs w:val="22"/>
          <w:lang w:val="fr-CA"/>
        </w:rPr>
        <w:t>arrest</w:t>
      </w:r>
      <w:r w:rsidR="00E12F65">
        <w:rPr>
          <w:sz w:val="22"/>
          <w:szCs w:val="22"/>
          <w:lang w:val="fr-CA"/>
        </w:rPr>
        <w:t>ations et accusations</w:t>
      </w:r>
      <w:r w:rsidRPr="00E12F65">
        <w:rPr>
          <w:sz w:val="22"/>
          <w:szCs w:val="22"/>
          <w:lang w:val="fr-CA"/>
        </w:rPr>
        <w:t>.</w:t>
      </w:r>
    </w:p>
    <w:p w14:paraId="7B6C9C8D" w14:textId="48E69EC1" w:rsidR="009B1989" w:rsidRPr="00E12F65" w:rsidRDefault="009B1989" w:rsidP="009B1989">
      <w:pPr>
        <w:spacing w:after="0" w:line="240" w:lineRule="auto"/>
        <w:rPr>
          <w:sz w:val="22"/>
          <w:szCs w:val="22"/>
          <w:lang w:val="fr-CA"/>
        </w:rPr>
      </w:pPr>
    </w:p>
    <w:p w14:paraId="10BED260" w14:textId="0EE8B280" w:rsidR="009B1989" w:rsidRPr="00E022B5" w:rsidRDefault="00E12F65" w:rsidP="009B1989">
      <w:pPr>
        <w:spacing w:after="0" w:line="240" w:lineRule="auto"/>
        <w:rPr>
          <w:sz w:val="22"/>
          <w:szCs w:val="22"/>
          <w:lang w:val="fr-CA"/>
        </w:rPr>
      </w:pPr>
      <w:r w:rsidRPr="00E12F65">
        <w:rPr>
          <w:sz w:val="22"/>
          <w:szCs w:val="22"/>
          <w:lang w:val="fr-CA"/>
        </w:rPr>
        <w:t xml:space="preserve">La </w:t>
      </w:r>
      <w:r w:rsidR="000D6A42">
        <w:rPr>
          <w:sz w:val="22"/>
          <w:szCs w:val="22"/>
          <w:lang w:val="fr-CA"/>
        </w:rPr>
        <w:t>Campagne</w:t>
      </w:r>
      <w:r w:rsidR="009B1989" w:rsidRPr="00E12F65">
        <w:rPr>
          <w:sz w:val="22"/>
          <w:szCs w:val="22"/>
          <w:lang w:val="fr-CA"/>
        </w:rPr>
        <w:t xml:space="preserve"> 2.0 </w:t>
      </w:r>
      <w:r w:rsidRPr="00164B22">
        <w:rPr>
          <w:sz w:val="22"/>
          <w:szCs w:val="22"/>
          <w:lang w:val="fr-CA"/>
        </w:rPr>
        <w:t>s'est déroulé</w:t>
      </w:r>
      <w:r>
        <w:rPr>
          <w:sz w:val="22"/>
          <w:szCs w:val="22"/>
          <w:lang w:val="fr-CA"/>
        </w:rPr>
        <w:t>e</w:t>
      </w:r>
      <w:r w:rsidRPr="00164B22">
        <w:rPr>
          <w:sz w:val="22"/>
          <w:szCs w:val="22"/>
          <w:lang w:val="fr-CA"/>
        </w:rPr>
        <w:t xml:space="preserve"> du 20 mai au 31 octobre 2025 et a mobilisé </w:t>
      </w:r>
      <w:r>
        <w:rPr>
          <w:sz w:val="22"/>
          <w:szCs w:val="22"/>
          <w:lang w:val="fr-CA"/>
        </w:rPr>
        <w:t xml:space="preserve">des organisations d’application de la loi d’un peu partout au pays qui ont concentré leurs </w:t>
      </w:r>
      <w:r w:rsidR="009B1989" w:rsidRPr="00E12F65">
        <w:rPr>
          <w:sz w:val="22"/>
          <w:szCs w:val="22"/>
          <w:lang w:val="fr-CA"/>
        </w:rPr>
        <w:t xml:space="preserve">efforts </w:t>
      </w:r>
      <w:r>
        <w:rPr>
          <w:sz w:val="22"/>
          <w:szCs w:val="22"/>
          <w:lang w:val="fr-CA"/>
        </w:rPr>
        <w:t xml:space="preserve">sur les trafiquants de </w:t>
      </w:r>
      <w:r w:rsidR="009B1989" w:rsidRPr="00E12F65">
        <w:rPr>
          <w:sz w:val="22"/>
          <w:szCs w:val="22"/>
          <w:lang w:val="fr-CA"/>
        </w:rPr>
        <w:t>fentanyl</w:t>
      </w:r>
      <w:r>
        <w:rPr>
          <w:sz w:val="22"/>
          <w:szCs w:val="22"/>
          <w:lang w:val="fr-CA"/>
        </w:rPr>
        <w:t xml:space="preserve"> e</w:t>
      </w:r>
      <w:r w:rsidR="002F116E">
        <w:rPr>
          <w:sz w:val="22"/>
          <w:szCs w:val="22"/>
          <w:lang w:val="fr-CA"/>
        </w:rPr>
        <w:t xml:space="preserve">t </w:t>
      </w:r>
      <w:r>
        <w:rPr>
          <w:sz w:val="22"/>
          <w:szCs w:val="22"/>
          <w:lang w:val="fr-CA"/>
        </w:rPr>
        <w:t>cibl</w:t>
      </w:r>
      <w:r w:rsidR="002F116E">
        <w:rPr>
          <w:sz w:val="22"/>
          <w:szCs w:val="22"/>
          <w:lang w:val="fr-CA"/>
        </w:rPr>
        <w:t>é</w:t>
      </w:r>
      <w:r>
        <w:rPr>
          <w:sz w:val="22"/>
          <w:szCs w:val="22"/>
          <w:lang w:val="fr-CA"/>
        </w:rPr>
        <w:t xml:space="preserve"> les laboratoires clandestins, les réseaux de </w:t>
      </w:r>
      <w:r w:rsidR="009B1989" w:rsidRPr="00E12F65">
        <w:rPr>
          <w:sz w:val="22"/>
          <w:szCs w:val="22"/>
          <w:lang w:val="fr-CA"/>
        </w:rPr>
        <w:t>distribution </w:t>
      </w:r>
      <w:r>
        <w:rPr>
          <w:sz w:val="22"/>
          <w:szCs w:val="22"/>
          <w:lang w:val="fr-CA"/>
        </w:rPr>
        <w:t xml:space="preserve">et les </w:t>
      </w:r>
      <w:r w:rsidR="00B1082C">
        <w:rPr>
          <w:sz w:val="22"/>
          <w:szCs w:val="22"/>
          <w:lang w:val="fr-CA"/>
        </w:rPr>
        <w:t>facilitateurs</w:t>
      </w:r>
      <w:r w:rsidR="00E022B5">
        <w:rPr>
          <w:sz w:val="22"/>
          <w:szCs w:val="22"/>
          <w:lang w:val="fr-CA"/>
        </w:rPr>
        <w:t xml:space="preserve"> financ</w:t>
      </w:r>
      <w:r w:rsidR="00B1082C">
        <w:rPr>
          <w:sz w:val="22"/>
          <w:szCs w:val="22"/>
          <w:lang w:val="fr-CA"/>
        </w:rPr>
        <w:t>i</w:t>
      </w:r>
      <w:r w:rsidR="00E022B5">
        <w:rPr>
          <w:sz w:val="22"/>
          <w:szCs w:val="22"/>
          <w:lang w:val="fr-CA"/>
        </w:rPr>
        <w:t>e</w:t>
      </w:r>
      <w:r w:rsidR="00B1082C">
        <w:rPr>
          <w:sz w:val="22"/>
          <w:szCs w:val="22"/>
          <w:lang w:val="fr-CA"/>
        </w:rPr>
        <w:t>rs</w:t>
      </w:r>
      <w:r w:rsidR="009B1989" w:rsidRPr="00E12F65">
        <w:rPr>
          <w:sz w:val="22"/>
          <w:szCs w:val="22"/>
          <w:lang w:val="fr-CA"/>
        </w:rPr>
        <w:t>. </w:t>
      </w:r>
      <w:r w:rsidR="00E022B5" w:rsidRPr="00E022B5">
        <w:rPr>
          <w:sz w:val="22"/>
          <w:szCs w:val="22"/>
          <w:lang w:val="fr-CA"/>
        </w:rPr>
        <w:t xml:space="preserve">La </w:t>
      </w:r>
      <w:r w:rsidR="000D6A42">
        <w:rPr>
          <w:sz w:val="22"/>
          <w:szCs w:val="22"/>
          <w:lang w:val="fr-CA"/>
        </w:rPr>
        <w:t>Campagne</w:t>
      </w:r>
      <w:r w:rsidR="009B1989" w:rsidRPr="00E022B5">
        <w:rPr>
          <w:sz w:val="22"/>
          <w:szCs w:val="22"/>
          <w:lang w:val="fr-CA"/>
        </w:rPr>
        <w:t xml:space="preserve"> 2.0 </w:t>
      </w:r>
      <w:r w:rsidR="00E022B5" w:rsidRPr="00E022B5">
        <w:rPr>
          <w:sz w:val="22"/>
          <w:szCs w:val="22"/>
          <w:lang w:val="fr-CA"/>
        </w:rPr>
        <w:t>a fait ressortir l’</w:t>
      </w:r>
      <w:r w:rsidR="009B1989" w:rsidRPr="00E022B5">
        <w:rPr>
          <w:sz w:val="22"/>
          <w:szCs w:val="22"/>
          <w:lang w:val="fr-CA"/>
        </w:rPr>
        <w:t xml:space="preserve">importance </w:t>
      </w:r>
      <w:r w:rsidR="00E022B5" w:rsidRPr="00E022B5">
        <w:rPr>
          <w:sz w:val="22"/>
          <w:szCs w:val="22"/>
          <w:lang w:val="fr-CA"/>
        </w:rPr>
        <w:t>des enquêtes</w:t>
      </w:r>
      <w:r w:rsidR="002F116E">
        <w:rPr>
          <w:sz w:val="22"/>
          <w:szCs w:val="22"/>
          <w:lang w:val="fr-CA"/>
        </w:rPr>
        <w:t xml:space="preserve"> sur l’aspect</w:t>
      </w:r>
      <w:r w:rsidR="009B1989" w:rsidRPr="00E022B5">
        <w:rPr>
          <w:sz w:val="22"/>
          <w:szCs w:val="22"/>
          <w:lang w:val="fr-CA"/>
        </w:rPr>
        <w:t xml:space="preserve"> financi</w:t>
      </w:r>
      <w:r w:rsidR="002F116E">
        <w:rPr>
          <w:sz w:val="22"/>
          <w:szCs w:val="22"/>
          <w:lang w:val="fr-CA"/>
        </w:rPr>
        <w:t>er du marché illicite du fentanyl</w:t>
      </w:r>
      <w:r w:rsidR="000D6A42">
        <w:rPr>
          <w:sz w:val="22"/>
          <w:szCs w:val="22"/>
          <w:lang w:val="fr-CA"/>
        </w:rPr>
        <w:t>,</w:t>
      </w:r>
      <w:r w:rsidR="002F116E">
        <w:rPr>
          <w:sz w:val="22"/>
          <w:szCs w:val="22"/>
          <w:lang w:val="fr-CA"/>
        </w:rPr>
        <w:t xml:space="preserve"> puisqu’elle</w:t>
      </w:r>
      <w:r w:rsidR="009B1989" w:rsidRPr="00E022B5">
        <w:rPr>
          <w:sz w:val="22"/>
          <w:szCs w:val="22"/>
          <w:lang w:val="fr-CA"/>
        </w:rPr>
        <w:t xml:space="preserve"> </w:t>
      </w:r>
      <w:r w:rsidR="00E022B5" w:rsidRPr="00E022B5">
        <w:rPr>
          <w:sz w:val="22"/>
          <w:szCs w:val="22"/>
          <w:lang w:val="fr-CA"/>
        </w:rPr>
        <w:t>reposa</w:t>
      </w:r>
      <w:r w:rsidR="002F116E">
        <w:rPr>
          <w:sz w:val="22"/>
          <w:szCs w:val="22"/>
          <w:lang w:val="fr-CA"/>
        </w:rPr>
        <w:t>i</w:t>
      </w:r>
      <w:r w:rsidR="00E022B5" w:rsidRPr="00E022B5">
        <w:rPr>
          <w:sz w:val="22"/>
          <w:szCs w:val="22"/>
          <w:lang w:val="fr-CA"/>
        </w:rPr>
        <w:t>t sur l</w:t>
      </w:r>
      <w:r w:rsidR="002F116E">
        <w:rPr>
          <w:sz w:val="22"/>
          <w:szCs w:val="22"/>
          <w:lang w:val="fr-CA"/>
        </w:rPr>
        <w:t>e principe</w:t>
      </w:r>
      <w:r w:rsidR="00E022B5" w:rsidRPr="00E022B5">
        <w:rPr>
          <w:sz w:val="22"/>
          <w:szCs w:val="22"/>
          <w:lang w:val="fr-CA"/>
        </w:rPr>
        <w:t xml:space="preserve"> que </w:t>
      </w:r>
      <w:r w:rsidR="00E022B5">
        <w:rPr>
          <w:sz w:val="22"/>
          <w:szCs w:val="22"/>
          <w:lang w:val="fr-CA"/>
        </w:rPr>
        <w:t>le démantèlement de l’</w:t>
      </w:r>
      <w:r w:rsidR="009B1989" w:rsidRPr="00E022B5">
        <w:rPr>
          <w:sz w:val="22"/>
          <w:szCs w:val="22"/>
          <w:lang w:val="fr-CA"/>
        </w:rPr>
        <w:t xml:space="preserve">infrastructure </w:t>
      </w:r>
      <w:r w:rsidR="00E022B5">
        <w:rPr>
          <w:sz w:val="22"/>
          <w:szCs w:val="22"/>
          <w:lang w:val="fr-CA"/>
        </w:rPr>
        <w:t>économique du crime</w:t>
      </w:r>
      <w:r w:rsidR="009B1989" w:rsidRPr="00E022B5">
        <w:rPr>
          <w:sz w:val="22"/>
          <w:szCs w:val="22"/>
          <w:lang w:val="fr-CA"/>
        </w:rPr>
        <w:t xml:space="preserve"> organi</w:t>
      </w:r>
      <w:r w:rsidR="00E022B5">
        <w:rPr>
          <w:sz w:val="22"/>
          <w:szCs w:val="22"/>
          <w:lang w:val="fr-CA"/>
        </w:rPr>
        <w:t>sé est un puissant moyen de dissuasion et un gage de réussite à l</w:t>
      </w:r>
      <w:r w:rsidR="009B1989" w:rsidRPr="00E022B5">
        <w:rPr>
          <w:sz w:val="22"/>
          <w:szCs w:val="22"/>
          <w:lang w:val="fr-CA"/>
        </w:rPr>
        <w:t>ong</w:t>
      </w:r>
      <w:r w:rsidR="00E022B5">
        <w:rPr>
          <w:sz w:val="22"/>
          <w:szCs w:val="22"/>
          <w:lang w:val="fr-CA"/>
        </w:rPr>
        <w:t xml:space="preserve"> </w:t>
      </w:r>
      <w:r w:rsidR="009B1989" w:rsidRPr="00E022B5">
        <w:rPr>
          <w:sz w:val="22"/>
          <w:szCs w:val="22"/>
          <w:lang w:val="fr-CA"/>
        </w:rPr>
        <w:t>term</w:t>
      </w:r>
      <w:r w:rsidR="00E022B5">
        <w:rPr>
          <w:sz w:val="22"/>
          <w:szCs w:val="22"/>
          <w:lang w:val="fr-CA"/>
        </w:rPr>
        <w:t>e</w:t>
      </w:r>
      <w:r w:rsidR="009B1989" w:rsidRPr="00E022B5">
        <w:rPr>
          <w:sz w:val="22"/>
          <w:szCs w:val="22"/>
          <w:lang w:val="fr-CA"/>
        </w:rPr>
        <w:t>.</w:t>
      </w:r>
    </w:p>
    <w:p w14:paraId="039957D0" w14:textId="77777777" w:rsidR="009B1989" w:rsidRPr="00E022B5" w:rsidRDefault="009B1989" w:rsidP="009B1989">
      <w:pPr>
        <w:spacing w:after="0" w:line="240" w:lineRule="auto"/>
        <w:rPr>
          <w:sz w:val="22"/>
          <w:szCs w:val="22"/>
          <w:lang w:val="fr-CA"/>
        </w:rPr>
      </w:pPr>
    </w:p>
    <w:p w14:paraId="75F3D35C" w14:textId="1DF2BBBE" w:rsidR="00E022B5" w:rsidRPr="00583E15" w:rsidRDefault="00E022B5" w:rsidP="00E022B5">
      <w:pPr>
        <w:spacing w:after="0" w:line="240" w:lineRule="auto"/>
        <w:rPr>
          <w:sz w:val="22"/>
          <w:szCs w:val="22"/>
          <w:lang w:val="fr-CA"/>
        </w:rPr>
      </w:pPr>
      <w:r>
        <w:rPr>
          <w:sz w:val="22"/>
          <w:szCs w:val="22"/>
          <w:lang w:val="fr-CA"/>
        </w:rPr>
        <w:t>Les organisations membres de la RICCO</w:t>
      </w:r>
      <w:r w:rsidR="009B1989" w:rsidRPr="001E489E">
        <w:rPr>
          <w:sz w:val="22"/>
          <w:szCs w:val="22"/>
          <w:lang w:val="fr-CA"/>
        </w:rPr>
        <w:t xml:space="preserve"> </w:t>
      </w:r>
      <w:r>
        <w:rPr>
          <w:sz w:val="22"/>
          <w:szCs w:val="22"/>
          <w:lang w:val="fr-CA"/>
        </w:rPr>
        <w:t>ont vérifié le</w:t>
      </w:r>
      <w:r w:rsidRPr="00E022B5">
        <w:rPr>
          <w:sz w:val="22"/>
          <w:szCs w:val="22"/>
          <w:lang w:val="fr-CA"/>
        </w:rPr>
        <w:t xml:space="preserve"> respect des conditions de mise en liberté sous caution</w:t>
      </w:r>
      <w:r w:rsidR="009B1989" w:rsidRPr="001E489E">
        <w:rPr>
          <w:sz w:val="22"/>
          <w:szCs w:val="22"/>
          <w:lang w:val="fr-CA"/>
        </w:rPr>
        <w:t xml:space="preserve">, </w:t>
      </w:r>
      <w:r>
        <w:rPr>
          <w:sz w:val="22"/>
          <w:szCs w:val="22"/>
          <w:lang w:val="fr-CA"/>
        </w:rPr>
        <w:t>fait le suivi des saisies et des accusations et échangé de l’</w:t>
      </w:r>
      <w:r w:rsidR="16AE53AC" w:rsidRPr="001E489E">
        <w:rPr>
          <w:sz w:val="22"/>
          <w:szCs w:val="22"/>
          <w:lang w:val="fr-CA"/>
        </w:rPr>
        <w:t>information</w:t>
      </w:r>
      <w:r>
        <w:rPr>
          <w:sz w:val="22"/>
          <w:szCs w:val="22"/>
          <w:lang w:val="fr-CA"/>
        </w:rPr>
        <w:t xml:space="preserve"> avec</w:t>
      </w:r>
      <w:r w:rsidR="009B1989" w:rsidRPr="001E489E">
        <w:rPr>
          <w:sz w:val="22"/>
          <w:szCs w:val="22"/>
          <w:lang w:val="fr-CA"/>
        </w:rPr>
        <w:t xml:space="preserve"> </w:t>
      </w:r>
      <w:r w:rsidRPr="00E022B5">
        <w:rPr>
          <w:sz w:val="22"/>
          <w:szCs w:val="22"/>
          <w:lang w:val="fr-CA"/>
        </w:rPr>
        <w:t>l'Agence des services frontaliers du Canada (ASFC), l'Agence du revenu du Canada (ARC), le Centre d'analyse des opérations et déclarations financières du Canada (CANAFE) et d</w:t>
      </w:r>
      <w:r>
        <w:rPr>
          <w:sz w:val="22"/>
          <w:szCs w:val="22"/>
          <w:lang w:val="fr-CA"/>
        </w:rPr>
        <w:t xml:space="preserve">es </w:t>
      </w:r>
      <w:r w:rsidRPr="00583E15">
        <w:rPr>
          <w:sz w:val="22"/>
          <w:szCs w:val="22"/>
          <w:lang w:val="fr-CA"/>
        </w:rPr>
        <w:t xml:space="preserve">partenaires </w:t>
      </w:r>
      <w:r>
        <w:rPr>
          <w:sz w:val="22"/>
          <w:szCs w:val="22"/>
          <w:lang w:val="fr-CA"/>
        </w:rPr>
        <w:t>de l’extérieur du pays</w:t>
      </w:r>
      <w:r w:rsidRPr="00583E15">
        <w:rPr>
          <w:sz w:val="22"/>
          <w:szCs w:val="22"/>
          <w:lang w:val="fr-CA"/>
        </w:rPr>
        <w:t>.</w:t>
      </w:r>
    </w:p>
    <w:p w14:paraId="6F2E7E00" w14:textId="77777777" w:rsidR="009B1989" w:rsidRPr="001E489E" w:rsidRDefault="009B1989" w:rsidP="009B1989">
      <w:pPr>
        <w:spacing w:after="0" w:line="240" w:lineRule="auto"/>
        <w:rPr>
          <w:sz w:val="22"/>
          <w:szCs w:val="22"/>
          <w:lang w:val="fr-CA"/>
        </w:rPr>
      </w:pPr>
    </w:p>
    <w:p w14:paraId="65A4B63E" w14:textId="703E44C1" w:rsidR="009B1989" w:rsidRPr="0072159F" w:rsidRDefault="00E022B5" w:rsidP="009B1989">
      <w:pPr>
        <w:spacing w:after="0" w:line="240" w:lineRule="auto"/>
        <w:rPr>
          <w:sz w:val="22"/>
          <w:szCs w:val="22"/>
          <w:lang w:val="fr-CA"/>
        </w:rPr>
      </w:pPr>
      <w:r w:rsidRPr="00E022B5">
        <w:rPr>
          <w:sz w:val="22"/>
          <w:szCs w:val="22"/>
          <w:lang w:val="fr-CA"/>
        </w:rPr>
        <w:t xml:space="preserve">Aujourd’hui, </w:t>
      </w:r>
      <w:r>
        <w:rPr>
          <w:sz w:val="22"/>
          <w:szCs w:val="22"/>
          <w:lang w:val="fr-CA"/>
        </w:rPr>
        <w:t xml:space="preserve">les coprésidents de la RICCO – </w:t>
      </w:r>
      <w:r w:rsidRPr="00E022B5">
        <w:rPr>
          <w:sz w:val="22"/>
          <w:szCs w:val="22"/>
          <w:lang w:val="fr-CA"/>
        </w:rPr>
        <w:t xml:space="preserve">la commissaire adjointe de la Gendarmerie royale du </w:t>
      </w:r>
      <w:r w:rsidR="009B1989" w:rsidRPr="00E022B5">
        <w:rPr>
          <w:sz w:val="22"/>
          <w:szCs w:val="22"/>
          <w:lang w:val="fr-CA"/>
        </w:rPr>
        <w:t>Canad</w:t>
      </w:r>
      <w:r>
        <w:rPr>
          <w:sz w:val="22"/>
          <w:szCs w:val="22"/>
          <w:lang w:val="fr-CA"/>
        </w:rPr>
        <w:t>a</w:t>
      </w:r>
      <w:r w:rsidR="009B1989" w:rsidRPr="00E022B5">
        <w:rPr>
          <w:sz w:val="22"/>
          <w:szCs w:val="22"/>
          <w:lang w:val="fr-CA"/>
        </w:rPr>
        <w:t xml:space="preserve"> (</w:t>
      </w:r>
      <w:r>
        <w:rPr>
          <w:sz w:val="22"/>
          <w:szCs w:val="22"/>
          <w:lang w:val="fr-CA"/>
        </w:rPr>
        <w:t>G</w:t>
      </w:r>
      <w:r w:rsidR="009B1989" w:rsidRPr="00E022B5">
        <w:rPr>
          <w:sz w:val="22"/>
          <w:szCs w:val="22"/>
          <w:lang w:val="fr-CA"/>
        </w:rPr>
        <w:t>RC) Bonnie</w:t>
      </w:r>
      <w:r>
        <w:rPr>
          <w:sz w:val="22"/>
          <w:szCs w:val="22"/>
          <w:lang w:val="fr-CA"/>
        </w:rPr>
        <w:t> </w:t>
      </w:r>
      <w:r w:rsidR="009B1989" w:rsidRPr="00E022B5">
        <w:rPr>
          <w:sz w:val="22"/>
          <w:szCs w:val="22"/>
          <w:lang w:val="fr-CA"/>
        </w:rPr>
        <w:t>Ferguson</w:t>
      </w:r>
      <w:r>
        <w:rPr>
          <w:sz w:val="22"/>
          <w:szCs w:val="22"/>
          <w:lang w:val="fr-CA"/>
        </w:rPr>
        <w:t xml:space="preserve"> et</w:t>
      </w:r>
      <w:r w:rsidR="009B1989" w:rsidRPr="00E022B5">
        <w:rPr>
          <w:sz w:val="22"/>
          <w:szCs w:val="22"/>
          <w:lang w:val="fr-CA"/>
        </w:rPr>
        <w:t xml:space="preserve"> </w:t>
      </w:r>
      <w:r w:rsidRPr="00E022B5">
        <w:rPr>
          <w:sz w:val="22"/>
          <w:szCs w:val="22"/>
          <w:lang w:val="fr-CA"/>
        </w:rPr>
        <w:t xml:space="preserve">le </w:t>
      </w:r>
      <w:bookmarkStart w:id="0" w:name="_Hlk215212826"/>
      <w:r w:rsidRPr="00E022B5">
        <w:rPr>
          <w:sz w:val="22"/>
          <w:szCs w:val="22"/>
          <w:lang w:val="fr-CA"/>
        </w:rPr>
        <w:t xml:space="preserve">directeur général adjoint à la Sûreté du Québec </w:t>
      </w:r>
      <w:bookmarkEnd w:id="0"/>
      <w:r w:rsidRPr="00E022B5">
        <w:rPr>
          <w:sz w:val="22"/>
          <w:szCs w:val="22"/>
          <w:lang w:val="fr-CA"/>
        </w:rPr>
        <w:t>Benoît</w:t>
      </w:r>
      <w:r w:rsidR="0072159F">
        <w:rPr>
          <w:sz w:val="22"/>
          <w:szCs w:val="22"/>
          <w:lang w:val="fr-CA"/>
        </w:rPr>
        <w:t> </w:t>
      </w:r>
      <w:r w:rsidRPr="00E022B5">
        <w:rPr>
          <w:sz w:val="22"/>
          <w:szCs w:val="22"/>
          <w:lang w:val="fr-CA"/>
        </w:rPr>
        <w:t>Dubé</w:t>
      </w:r>
      <w:r w:rsidR="0072159F">
        <w:rPr>
          <w:sz w:val="22"/>
          <w:szCs w:val="22"/>
          <w:lang w:val="fr-CA"/>
        </w:rPr>
        <w:t> </w:t>
      </w:r>
      <w:r w:rsidR="009B1989" w:rsidRPr="00E022B5">
        <w:rPr>
          <w:sz w:val="22"/>
          <w:szCs w:val="22"/>
          <w:lang w:val="fr-CA"/>
        </w:rPr>
        <w:t>–</w:t>
      </w:r>
      <w:r w:rsidR="0072159F">
        <w:rPr>
          <w:sz w:val="22"/>
          <w:szCs w:val="22"/>
          <w:lang w:val="fr-CA"/>
        </w:rPr>
        <w:t xml:space="preserve">ont annoncé les résultats de la </w:t>
      </w:r>
      <w:r w:rsidR="000D6A42">
        <w:rPr>
          <w:sz w:val="22"/>
          <w:szCs w:val="22"/>
          <w:lang w:val="fr-CA"/>
        </w:rPr>
        <w:t>Campagne</w:t>
      </w:r>
      <w:r w:rsidR="0072159F">
        <w:rPr>
          <w:sz w:val="22"/>
          <w:szCs w:val="22"/>
          <w:lang w:val="fr-CA"/>
        </w:rPr>
        <w:t> </w:t>
      </w:r>
      <w:r w:rsidR="009B1989" w:rsidRPr="0072159F">
        <w:rPr>
          <w:sz w:val="22"/>
          <w:szCs w:val="22"/>
          <w:lang w:val="fr-CA"/>
        </w:rPr>
        <w:t>2.0. </w:t>
      </w:r>
    </w:p>
    <w:p w14:paraId="7AF04641" w14:textId="77777777" w:rsidR="009B1989" w:rsidRPr="0072159F" w:rsidRDefault="009B1989" w:rsidP="009B1989">
      <w:pPr>
        <w:spacing w:after="0" w:line="240" w:lineRule="auto"/>
        <w:rPr>
          <w:sz w:val="22"/>
          <w:szCs w:val="22"/>
          <w:lang w:val="fr-CA"/>
        </w:rPr>
      </w:pPr>
    </w:p>
    <w:p w14:paraId="6EC434BB" w14:textId="65EDCC12" w:rsidR="009B1989" w:rsidRPr="003D6052" w:rsidRDefault="0072159F" w:rsidP="009B1989">
      <w:pPr>
        <w:spacing w:after="0" w:line="240" w:lineRule="auto"/>
        <w:rPr>
          <w:sz w:val="22"/>
          <w:szCs w:val="22"/>
          <w:lang w:val="fr-CA"/>
        </w:rPr>
      </w:pPr>
      <w:r w:rsidRPr="003D6052">
        <w:rPr>
          <w:sz w:val="22"/>
          <w:szCs w:val="22"/>
          <w:lang w:val="fr-CA"/>
        </w:rPr>
        <w:t xml:space="preserve">Au cours de </w:t>
      </w:r>
      <w:r w:rsidR="00FA7BEC">
        <w:rPr>
          <w:sz w:val="22"/>
          <w:szCs w:val="22"/>
          <w:lang w:val="fr-CA"/>
        </w:rPr>
        <w:t>cette initiative</w:t>
      </w:r>
      <w:r w:rsidR="009B1989" w:rsidRPr="003D6052">
        <w:rPr>
          <w:sz w:val="22"/>
          <w:szCs w:val="22"/>
          <w:lang w:val="fr-CA"/>
        </w:rPr>
        <w:t xml:space="preserve">, </w:t>
      </w:r>
      <w:r w:rsidR="003D6052" w:rsidRPr="003D6052">
        <w:rPr>
          <w:sz w:val="22"/>
          <w:szCs w:val="22"/>
          <w:lang w:val="fr-CA"/>
        </w:rPr>
        <w:t xml:space="preserve">plus de </w:t>
      </w:r>
      <w:r w:rsidR="009B1989" w:rsidRPr="003D6052">
        <w:rPr>
          <w:sz w:val="22"/>
          <w:szCs w:val="22"/>
          <w:lang w:val="fr-CA"/>
        </w:rPr>
        <w:t>100</w:t>
      </w:r>
      <w:r w:rsidR="003D6052" w:rsidRPr="003D6052">
        <w:rPr>
          <w:sz w:val="22"/>
          <w:szCs w:val="22"/>
          <w:lang w:val="fr-CA"/>
        </w:rPr>
        <w:t xml:space="preserve"> organisations </w:t>
      </w:r>
      <w:r w:rsidR="002F116E">
        <w:rPr>
          <w:sz w:val="22"/>
          <w:szCs w:val="22"/>
          <w:lang w:val="fr-CA"/>
        </w:rPr>
        <w:t>c</w:t>
      </w:r>
      <w:r w:rsidR="009B1989" w:rsidRPr="003D6052">
        <w:rPr>
          <w:sz w:val="22"/>
          <w:szCs w:val="22"/>
          <w:lang w:val="fr-CA"/>
        </w:rPr>
        <w:t>anad</w:t>
      </w:r>
      <w:r w:rsidR="002F116E">
        <w:rPr>
          <w:sz w:val="22"/>
          <w:szCs w:val="22"/>
          <w:lang w:val="fr-CA"/>
        </w:rPr>
        <w:t>iennes</w:t>
      </w:r>
      <w:r w:rsidR="009B1989" w:rsidRPr="003D6052">
        <w:rPr>
          <w:sz w:val="22"/>
          <w:szCs w:val="22"/>
          <w:lang w:val="fr-CA"/>
        </w:rPr>
        <w:t xml:space="preserve"> </w:t>
      </w:r>
      <w:r w:rsidR="00FA7BEC">
        <w:rPr>
          <w:sz w:val="22"/>
          <w:szCs w:val="22"/>
          <w:lang w:val="fr-CA"/>
        </w:rPr>
        <w:t xml:space="preserve">d’application de la loi </w:t>
      </w:r>
      <w:r w:rsidR="003D6052" w:rsidRPr="003D6052">
        <w:rPr>
          <w:sz w:val="22"/>
          <w:szCs w:val="22"/>
          <w:lang w:val="fr-CA"/>
        </w:rPr>
        <w:t>ont déclar</w:t>
      </w:r>
      <w:r w:rsidR="003D6052">
        <w:rPr>
          <w:sz w:val="22"/>
          <w:szCs w:val="22"/>
          <w:lang w:val="fr-CA"/>
        </w:rPr>
        <w:t xml:space="preserve">é </w:t>
      </w:r>
      <w:r w:rsidR="009B1989" w:rsidRPr="003D6052">
        <w:rPr>
          <w:sz w:val="22"/>
          <w:szCs w:val="22"/>
          <w:lang w:val="fr-CA"/>
        </w:rPr>
        <w:t>8</w:t>
      </w:r>
      <w:r w:rsidR="003D6052">
        <w:rPr>
          <w:sz w:val="22"/>
          <w:szCs w:val="22"/>
          <w:lang w:val="fr-CA"/>
        </w:rPr>
        <w:t> </w:t>
      </w:r>
      <w:r w:rsidR="009B1989" w:rsidRPr="003D6052">
        <w:rPr>
          <w:sz w:val="22"/>
          <w:szCs w:val="22"/>
          <w:lang w:val="fr-CA"/>
        </w:rPr>
        <w:t>136</w:t>
      </w:r>
      <w:r w:rsidR="003D6052">
        <w:rPr>
          <w:sz w:val="22"/>
          <w:szCs w:val="22"/>
          <w:lang w:val="fr-CA"/>
        </w:rPr>
        <w:t> </w:t>
      </w:r>
      <w:r w:rsidR="009B1989" w:rsidRPr="003D6052">
        <w:rPr>
          <w:sz w:val="22"/>
          <w:szCs w:val="22"/>
          <w:lang w:val="fr-CA"/>
        </w:rPr>
        <w:t>arrest</w:t>
      </w:r>
      <w:r w:rsidR="003D6052">
        <w:rPr>
          <w:sz w:val="22"/>
          <w:szCs w:val="22"/>
          <w:lang w:val="fr-CA"/>
        </w:rPr>
        <w:t>ation</w:t>
      </w:r>
      <w:r w:rsidR="009B1989" w:rsidRPr="003D6052">
        <w:rPr>
          <w:sz w:val="22"/>
          <w:szCs w:val="22"/>
          <w:lang w:val="fr-CA"/>
        </w:rPr>
        <w:t xml:space="preserve">s </w:t>
      </w:r>
      <w:r w:rsidR="003D6052">
        <w:rPr>
          <w:sz w:val="22"/>
          <w:szCs w:val="22"/>
          <w:lang w:val="fr-CA"/>
        </w:rPr>
        <w:t xml:space="preserve">et accusations et la saisie de grandes </w:t>
      </w:r>
      <w:r w:rsidR="009B1989" w:rsidRPr="003D6052">
        <w:rPr>
          <w:sz w:val="22"/>
          <w:szCs w:val="22"/>
          <w:lang w:val="fr-CA"/>
        </w:rPr>
        <w:t>quantit</w:t>
      </w:r>
      <w:r w:rsidR="003D6052">
        <w:rPr>
          <w:sz w:val="22"/>
          <w:szCs w:val="22"/>
          <w:lang w:val="fr-CA"/>
        </w:rPr>
        <w:t>és de drogue et d’autres biens, y compris </w:t>
      </w:r>
      <w:r w:rsidR="009B1989" w:rsidRPr="003D6052">
        <w:rPr>
          <w:sz w:val="22"/>
          <w:szCs w:val="22"/>
          <w:lang w:val="fr-CA"/>
        </w:rPr>
        <w:t>: </w:t>
      </w:r>
    </w:p>
    <w:p w14:paraId="7827D35B" w14:textId="77777777" w:rsidR="009B1989" w:rsidRPr="003D6052" w:rsidRDefault="009B1989" w:rsidP="009B1989">
      <w:pPr>
        <w:spacing w:after="0" w:line="240" w:lineRule="auto"/>
        <w:rPr>
          <w:sz w:val="22"/>
          <w:szCs w:val="22"/>
          <w:lang w:val="fr-CA"/>
        </w:rPr>
      </w:pPr>
    </w:p>
    <w:p w14:paraId="2AE439C7" w14:textId="44E21DA2" w:rsidR="009B1989" w:rsidRPr="001E489E" w:rsidRDefault="009B1989" w:rsidP="009B1989">
      <w:pPr>
        <w:numPr>
          <w:ilvl w:val="0"/>
          <w:numId w:val="2"/>
        </w:numPr>
        <w:spacing w:after="0" w:line="240" w:lineRule="auto"/>
        <w:rPr>
          <w:sz w:val="22"/>
          <w:szCs w:val="22"/>
          <w:lang w:val="fr-CA"/>
        </w:rPr>
      </w:pPr>
      <w:r w:rsidRPr="001E489E">
        <w:rPr>
          <w:sz w:val="22"/>
          <w:szCs w:val="22"/>
          <w:lang w:val="fr-CA"/>
        </w:rPr>
        <w:t>386</w:t>
      </w:r>
      <w:r w:rsidR="00537B20" w:rsidRPr="001E489E">
        <w:rPr>
          <w:sz w:val="22"/>
          <w:szCs w:val="22"/>
          <w:lang w:val="fr-CA"/>
        </w:rPr>
        <w:t xml:space="preserve"> </w:t>
      </w:r>
      <w:r w:rsidRPr="001E489E">
        <w:rPr>
          <w:sz w:val="22"/>
          <w:szCs w:val="22"/>
          <w:lang w:val="fr-CA"/>
        </w:rPr>
        <w:t xml:space="preserve">kg </w:t>
      </w:r>
      <w:r w:rsidR="003D6052">
        <w:rPr>
          <w:sz w:val="22"/>
          <w:szCs w:val="22"/>
          <w:lang w:val="fr-CA"/>
        </w:rPr>
        <w:t>de</w:t>
      </w:r>
      <w:r w:rsidRPr="001E489E">
        <w:rPr>
          <w:sz w:val="22"/>
          <w:szCs w:val="22"/>
          <w:lang w:val="fr-CA"/>
        </w:rPr>
        <w:t xml:space="preserve"> fentanyl</w:t>
      </w:r>
      <w:r w:rsidR="003D6052">
        <w:rPr>
          <w:sz w:val="22"/>
          <w:szCs w:val="22"/>
          <w:lang w:val="fr-CA"/>
        </w:rPr>
        <w:t>;</w:t>
      </w:r>
      <w:r w:rsidRPr="001E489E">
        <w:rPr>
          <w:sz w:val="22"/>
          <w:szCs w:val="22"/>
          <w:lang w:val="fr-CA"/>
        </w:rPr>
        <w:t> </w:t>
      </w:r>
    </w:p>
    <w:p w14:paraId="10895A8B" w14:textId="34338BE3" w:rsidR="009B1989" w:rsidRPr="001E489E" w:rsidRDefault="009B1989" w:rsidP="009B1989">
      <w:pPr>
        <w:numPr>
          <w:ilvl w:val="0"/>
          <w:numId w:val="3"/>
        </w:numPr>
        <w:spacing w:after="0" w:line="240" w:lineRule="auto"/>
        <w:rPr>
          <w:sz w:val="22"/>
          <w:szCs w:val="22"/>
          <w:lang w:val="fr-CA"/>
        </w:rPr>
      </w:pPr>
      <w:r w:rsidRPr="001E489E">
        <w:rPr>
          <w:sz w:val="22"/>
          <w:szCs w:val="22"/>
          <w:lang w:val="fr-CA"/>
        </w:rPr>
        <w:t>270</w:t>
      </w:r>
      <w:r w:rsidR="00537B20" w:rsidRPr="001E489E">
        <w:rPr>
          <w:sz w:val="22"/>
          <w:szCs w:val="22"/>
          <w:lang w:val="fr-CA"/>
        </w:rPr>
        <w:t xml:space="preserve"> </w:t>
      </w:r>
      <w:r w:rsidRPr="001E489E">
        <w:rPr>
          <w:sz w:val="22"/>
          <w:szCs w:val="22"/>
          <w:lang w:val="fr-CA"/>
        </w:rPr>
        <w:t xml:space="preserve">kg </w:t>
      </w:r>
      <w:r w:rsidR="003D6052">
        <w:rPr>
          <w:sz w:val="22"/>
          <w:szCs w:val="22"/>
          <w:lang w:val="fr-CA"/>
        </w:rPr>
        <w:t>de précurseurs chimiques;</w:t>
      </w:r>
      <w:r w:rsidRPr="001E489E">
        <w:rPr>
          <w:sz w:val="22"/>
          <w:szCs w:val="22"/>
          <w:lang w:val="fr-CA"/>
        </w:rPr>
        <w:t> </w:t>
      </w:r>
    </w:p>
    <w:p w14:paraId="00633269" w14:textId="4A076099" w:rsidR="009B1989" w:rsidRPr="003D6052" w:rsidRDefault="003D6052" w:rsidP="009B1989">
      <w:pPr>
        <w:numPr>
          <w:ilvl w:val="0"/>
          <w:numId w:val="4"/>
        </w:numPr>
        <w:spacing w:after="0" w:line="240" w:lineRule="auto"/>
        <w:rPr>
          <w:sz w:val="22"/>
          <w:szCs w:val="22"/>
          <w:lang w:val="fr-CA"/>
        </w:rPr>
      </w:pPr>
      <w:proofErr w:type="gramStart"/>
      <w:r w:rsidRPr="003D6052">
        <w:rPr>
          <w:sz w:val="22"/>
          <w:szCs w:val="22"/>
          <w:lang w:val="fr-CA"/>
        </w:rPr>
        <w:t>l’arrestation</w:t>
      </w:r>
      <w:proofErr w:type="gramEnd"/>
      <w:r w:rsidRPr="003D6052">
        <w:rPr>
          <w:sz w:val="22"/>
          <w:szCs w:val="22"/>
          <w:lang w:val="fr-CA"/>
        </w:rPr>
        <w:t xml:space="preserve"> </w:t>
      </w:r>
      <w:r>
        <w:rPr>
          <w:sz w:val="22"/>
          <w:szCs w:val="22"/>
          <w:lang w:val="fr-CA"/>
        </w:rPr>
        <w:t>pour t</w:t>
      </w:r>
      <w:r w:rsidRPr="003D6052">
        <w:rPr>
          <w:sz w:val="22"/>
          <w:szCs w:val="22"/>
          <w:lang w:val="fr-CA"/>
        </w:rPr>
        <w:t>rafi</w:t>
      </w:r>
      <w:r>
        <w:rPr>
          <w:sz w:val="22"/>
          <w:szCs w:val="22"/>
          <w:lang w:val="fr-CA"/>
        </w:rPr>
        <w:t>c</w:t>
      </w:r>
      <w:r w:rsidRPr="003D6052">
        <w:rPr>
          <w:sz w:val="22"/>
          <w:szCs w:val="22"/>
          <w:lang w:val="fr-CA"/>
        </w:rPr>
        <w:t xml:space="preserve"> de fentanyl de 217 </w:t>
      </w:r>
      <w:r>
        <w:rPr>
          <w:sz w:val="22"/>
          <w:szCs w:val="22"/>
          <w:lang w:val="fr-CA"/>
        </w:rPr>
        <w:t xml:space="preserve">personnes </w:t>
      </w:r>
      <w:r w:rsidRPr="003D6052">
        <w:rPr>
          <w:sz w:val="22"/>
          <w:szCs w:val="22"/>
          <w:lang w:val="fr-CA"/>
        </w:rPr>
        <w:t>qui ét</w:t>
      </w:r>
      <w:r>
        <w:rPr>
          <w:sz w:val="22"/>
          <w:szCs w:val="22"/>
          <w:lang w:val="fr-CA"/>
        </w:rPr>
        <w:t xml:space="preserve">aient </w:t>
      </w:r>
      <w:r w:rsidRPr="003D6052">
        <w:rPr>
          <w:sz w:val="22"/>
          <w:szCs w:val="22"/>
          <w:lang w:val="fr-CA"/>
        </w:rPr>
        <w:t>en liberté sous caution</w:t>
      </w:r>
      <w:r>
        <w:rPr>
          <w:sz w:val="22"/>
          <w:szCs w:val="22"/>
          <w:lang w:val="fr-CA"/>
        </w:rPr>
        <w:t>;</w:t>
      </w:r>
      <w:r w:rsidR="009B1989" w:rsidRPr="003D6052">
        <w:rPr>
          <w:sz w:val="22"/>
          <w:szCs w:val="22"/>
          <w:lang w:val="fr-CA"/>
        </w:rPr>
        <w:t> </w:t>
      </w:r>
    </w:p>
    <w:p w14:paraId="78918430" w14:textId="0C10456C" w:rsidR="009B1989" w:rsidRPr="001E489E" w:rsidRDefault="009B1989" w:rsidP="009B1989">
      <w:pPr>
        <w:numPr>
          <w:ilvl w:val="0"/>
          <w:numId w:val="5"/>
        </w:numPr>
        <w:spacing w:after="0" w:line="240" w:lineRule="auto"/>
        <w:rPr>
          <w:sz w:val="22"/>
          <w:szCs w:val="22"/>
          <w:lang w:val="fr-CA"/>
        </w:rPr>
      </w:pPr>
      <w:r w:rsidRPr="001E489E">
        <w:rPr>
          <w:sz w:val="22"/>
          <w:szCs w:val="22"/>
          <w:lang w:val="fr-CA"/>
        </w:rPr>
        <w:t>13</w:t>
      </w:r>
      <w:r w:rsidR="003D6052">
        <w:rPr>
          <w:sz w:val="22"/>
          <w:szCs w:val="22"/>
          <w:lang w:val="fr-CA"/>
        </w:rPr>
        <w:t>,</w:t>
      </w:r>
      <w:r w:rsidRPr="001E489E">
        <w:rPr>
          <w:sz w:val="22"/>
          <w:szCs w:val="22"/>
          <w:lang w:val="fr-CA"/>
        </w:rPr>
        <w:t>46</w:t>
      </w:r>
      <w:r w:rsidR="003D6052">
        <w:rPr>
          <w:sz w:val="22"/>
          <w:szCs w:val="22"/>
          <w:lang w:val="fr-CA"/>
        </w:rPr>
        <w:t> </w:t>
      </w:r>
      <w:r w:rsidRPr="001E489E">
        <w:rPr>
          <w:sz w:val="22"/>
          <w:szCs w:val="22"/>
          <w:lang w:val="fr-CA"/>
        </w:rPr>
        <w:t>million</w:t>
      </w:r>
      <w:r w:rsidR="003D6052">
        <w:rPr>
          <w:sz w:val="22"/>
          <w:szCs w:val="22"/>
          <w:lang w:val="fr-CA"/>
        </w:rPr>
        <w:t>s de dollars en argent comptant;</w:t>
      </w:r>
      <w:r w:rsidRPr="001E489E">
        <w:rPr>
          <w:sz w:val="22"/>
          <w:szCs w:val="22"/>
          <w:lang w:val="fr-CA"/>
        </w:rPr>
        <w:t> </w:t>
      </w:r>
    </w:p>
    <w:p w14:paraId="01891F6D" w14:textId="0E22E226" w:rsidR="009B1989" w:rsidRPr="001E489E" w:rsidRDefault="009B1989" w:rsidP="009B1989">
      <w:pPr>
        <w:numPr>
          <w:ilvl w:val="0"/>
          <w:numId w:val="6"/>
        </w:numPr>
        <w:spacing w:after="0" w:line="240" w:lineRule="auto"/>
        <w:rPr>
          <w:sz w:val="22"/>
          <w:szCs w:val="22"/>
          <w:lang w:val="fr-CA"/>
        </w:rPr>
      </w:pPr>
      <w:r w:rsidRPr="001E489E">
        <w:rPr>
          <w:sz w:val="22"/>
          <w:szCs w:val="22"/>
          <w:lang w:val="fr-CA"/>
        </w:rPr>
        <w:t>5</w:t>
      </w:r>
      <w:r w:rsidR="003D6052">
        <w:rPr>
          <w:sz w:val="22"/>
          <w:szCs w:val="22"/>
          <w:lang w:val="fr-CA"/>
        </w:rPr>
        <w:t xml:space="preserve"> </w:t>
      </w:r>
      <w:r w:rsidRPr="001E489E">
        <w:rPr>
          <w:sz w:val="22"/>
          <w:szCs w:val="22"/>
          <w:lang w:val="fr-CA"/>
        </w:rPr>
        <w:t xml:space="preserve">989 kg </w:t>
      </w:r>
      <w:r w:rsidR="003D6052">
        <w:rPr>
          <w:sz w:val="22"/>
          <w:szCs w:val="22"/>
          <w:lang w:val="fr-CA"/>
        </w:rPr>
        <w:t>de</w:t>
      </w:r>
      <w:r w:rsidRPr="001E489E">
        <w:rPr>
          <w:sz w:val="22"/>
          <w:szCs w:val="22"/>
          <w:lang w:val="fr-CA"/>
        </w:rPr>
        <w:t xml:space="preserve"> coca</w:t>
      </w:r>
      <w:r w:rsidR="003D6052">
        <w:rPr>
          <w:sz w:val="22"/>
          <w:szCs w:val="22"/>
          <w:lang w:val="fr-CA"/>
        </w:rPr>
        <w:t>ï</w:t>
      </w:r>
      <w:r w:rsidRPr="001E489E">
        <w:rPr>
          <w:sz w:val="22"/>
          <w:szCs w:val="22"/>
          <w:lang w:val="fr-CA"/>
        </w:rPr>
        <w:t>ne</w:t>
      </w:r>
      <w:r w:rsidR="003D6052">
        <w:rPr>
          <w:sz w:val="22"/>
          <w:szCs w:val="22"/>
          <w:lang w:val="fr-CA"/>
        </w:rPr>
        <w:t>;</w:t>
      </w:r>
      <w:r w:rsidRPr="001E489E">
        <w:rPr>
          <w:sz w:val="22"/>
          <w:szCs w:val="22"/>
          <w:lang w:val="fr-CA"/>
        </w:rPr>
        <w:t> </w:t>
      </w:r>
    </w:p>
    <w:p w14:paraId="04874F60" w14:textId="55BC63F2" w:rsidR="009B1989" w:rsidRPr="001E489E" w:rsidRDefault="009B1989" w:rsidP="009B1989">
      <w:pPr>
        <w:numPr>
          <w:ilvl w:val="0"/>
          <w:numId w:val="7"/>
        </w:numPr>
        <w:spacing w:after="0" w:line="240" w:lineRule="auto"/>
        <w:rPr>
          <w:sz w:val="22"/>
          <w:szCs w:val="22"/>
          <w:lang w:val="fr-CA"/>
        </w:rPr>
      </w:pPr>
      <w:r w:rsidRPr="001E489E">
        <w:rPr>
          <w:sz w:val="22"/>
          <w:szCs w:val="22"/>
          <w:lang w:val="fr-CA"/>
        </w:rPr>
        <w:t>1</w:t>
      </w:r>
      <w:r w:rsidR="003D6052">
        <w:rPr>
          <w:sz w:val="22"/>
          <w:szCs w:val="22"/>
          <w:lang w:val="fr-CA"/>
        </w:rPr>
        <w:t xml:space="preserve"> </w:t>
      </w:r>
      <w:r w:rsidRPr="001E489E">
        <w:rPr>
          <w:sz w:val="22"/>
          <w:szCs w:val="22"/>
          <w:lang w:val="fr-CA"/>
        </w:rPr>
        <w:t>708</w:t>
      </w:r>
      <w:r w:rsidR="00537B20" w:rsidRPr="001E489E">
        <w:rPr>
          <w:sz w:val="22"/>
          <w:szCs w:val="22"/>
          <w:lang w:val="fr-CA"/>
        </w:rPr>
        <w:t xml:space="preserve"> </w:t>
      </w:r>
      <w:r w:rsidRPr="001E489E">
        <w:rPr>
          <w:sz w:val="22"/>
          <w:szCs w:val="22"/>
          <w:lang w:val="fr-CA"/>
        </w:rPr>
        <w:t xml:space="preserve">kg </w:t>
      </w:r>
      <w:r w:rsidR="003D6052">
        <w:rPr>
          <w:sz w:val="22"/>
          <w:szCs w:val="22"/>
          <w:lang w:val="fr-CA"/>
        </w:rPr>
        <w:t>de</w:t>
      </w:r>
      <w:r w:rsidRPr="001E489E">
        <w:rPr>
          <w:sz w:val="22"/>
          <w:szCs w:val="22"/>
          <w:lang w:val="fr-CA"/>
        </w:rPr>
        <w:t xml:space="preserve"> m</w:t>
      </w:r>
      <w:r w:rsidR="003D6052">
        <w:rPr>
          <w:sz w:val="22"/>
          <w:szCs w:val="22"/>
          <w:lang w:val="fr-CA"/>
        </w:rPr>
        <w:t>é</w:t>
      </w:r>
      <w:r w:rsidRPr="001E489E">
        <w:rPr>
          <w:sz w:val="22"/>
          <w:szCs w:val="22"/>
          <w:lang w:val="fr-CA"/>
        </w:rPr>
        <w:t>thamph</w:t>
      </w:r>
      <w:r w:rsidR="003D6052">
        <w:rPr>
          <w:sz w:val="22"/>
          <w:szCs w:val="22"/>
          <w:lang w:val="fr-CA"/>
        </w:rPr>
        <w:t>é</w:t>
      </w:r>
      <w:r w:rsidRPr="001E489E">
        <w:rPr>
          <w:sz w:val="22"/>
          <w:szCs w:val="22"/>
          <w:lang w:val="fr-CA"/>
        </w:rPr>
        <w:t>tamine</w:t>
      </w:r>
      <w:r w:rsidR="003D6052">
        <w:rPr>
          <w:sz w:val="22"/>
          <w:szCs w:val="22"/>
          <w:lang w:val="fr-CA"/>
        </w:rPr>
        <w:t>.</w:t>
      </w:r>
    </w:p>
    <w:p w14:paraId="55FCC0E2" w14:textId="77777777" w:rsidR="009B1989" w:rsidRPr="001E489E" w:rsidRDefault="009B1989" w:rsidP="009B1989">
      <w:pPr>
        <w:spacing w:after="0" w:line="240" w:lineRule="auto"/>
        <w:rPr>
          <w:sz w:val="22"/>
          <w:szCs w:val="22"/>
          <w:lang w:val="fr-CA"/>
        </w:rPr>
      </w:pPr>
    </w:p>
    <w:p w14:paraId="5C808D7A" w14:textId="2770504A" w:rsidR="009B1989" w:rsidRPr="003D6052" w:rsidRDefault="003D6052" w:rsidP="009B1989">
      <w:pPr>
        <w:spacing w:after="0" w:line="240" w:lineRule="auto"/>
        <w:rPr>
          <w:sz w:val="22"/>
          <w:szCs w:val="22"/>
          <w:lang w:val="fr-CA"/>
        </w:rPr>
      </w:pPr>
      <w:r w:rsidRPr="003D6052">
        <w:rPr>
          <w:sz w:val="22"/>
          <w:szCs w:val="22"/>
          <w:lang w:val="fr-CA"/>
        </w:rPr>
        <w:t>Plusieurs enquêtes qui ont été lancées av</w:t>
      </w:r>
      <w:r>
        <w:rPr>
          <w:sz w:val="22"/>
          <w:szCs w:val="22"/>
          <w:lang w:val="fr-CA"/>
        </w:rPr>
        <w:t xml:space="preserve">ant et pendant la </w:t>
      </w:r>
      <w:r w:rsidR="000D6A42">
        <w:rPr>
          <w:sz w:val="22"/>
          <w:szCs w:val="22"/>
          <w:lang w:val="fr-CA"/>
        </w:rPr>
        <w:t>Campagne</w:t>
      </w:r>
      <w:r>
        <w:rPr>
          <w:sz w:val="22"/>
          <w:szCs w:val="22"/>
          <w:lang w:val="fr-CA"/>
        </w:rPr>
        <w:t> </w:t>
      </w:r>
      <w:r w:rsidR="009B1989" w:rsidRPr="003D6052">
        <w:rPr>
          <w:sz w:val="22"/>
          <w:szCs w:val="22"/>
          <w:lang w:val="fr-CA"/>
        </w:rPr>
        <w:t>2.0 </w:t>
      </w:r>
      <w:r>
        <w:rPr>
          <w:sz w:val="22"/>
          <w:szCs w:val="22"/>
          <w:lang w:val="fr-CA"/>
        </w:rPr>
        <w:t>sont toujours en cours</w:t>
      </w:r>
      <w:r w:rsidR="009B1989" w:rsidRPr="003D6052">
        <w:rPr>
          <w:sz w:val="22"/>
          <w:szCs w:val="22"/>
          <w:lang w:val="fr-CA"/>
        </w:rPr>
        <w:t>. </w:t>
      </w:r>
    </w:p>
    <w:p w14:paraId="682C56FA" w14:textId="77777777" w:rsidR="00596A92" w:rsidRPr="003D6052" w:rsidRDefault="00596A92" w:rsidP="009B1989">
      <w:pPr>
        <w:spacing w:after="0" w:line="240" w:lineRule="auto"/>
        <w:rPr>
          <w:sz w:val="22"/>
          <w:szCs w:val="22"/>
          <w:lang w:val="fr-CA"/>
        </w:rPr>
      </w:pPr>
    </w:p>
    <w:p w14:paraId="4AC06713" w14:textId="45A76080" w:rsidR="009B1989" w:rsidRPr="003D6052" w:rsidRDefault="00A74185" w:rsidP="009B1989">
      <w:pPr>
        <w:spacing w:after="0" w:line="240" w:lineRule="auto"/>
        <w:rPr>
          <w:sz w:val="22"/>
          <w:szCs w:val="22"/>
          <w:lang w:val="fr-CA"/>
        </w:rPr>
      </w:pPr>
      <w:r w:rsidRPr="00A74185">
        <w:rPr>
          <w:sz w:val="22"/>
          <w:szCs w:val="22"/>
          <w:lang w:val="fr-CA"/>
        </w:rPr>
        <w:t>La lutte contre le marché illégal de ces substances demeure une priorité clé du Canada, puisqu</w:t>
      </w:r>
      <w:r w:rsidR="00EE05A7">
        <w:rPr>
          <w:sz w:val="22"/>
          <w:szCs w:val="22"/>
          <w:lang w:val="fr-CA"/>
        </w:rPr>
        <w:t>e ce marché</w:t>
      </w:r>
      <w:r w:rsidRPr="00A74185">
        <w:rPr>
          <w:sz w:val="22"/>
          <w:szCs w:val="22"/>
          <w:lang w:val="fr-CA"/>
        </w:rPr>
        <w:t xml:space="preserve"> représente une menace critique pour la santé et la sécurité du public.</w:t>
      </w:r>
      <w:r w:rsidR="009B1989" w:rsidRPr="003D6052">
        <w:rPr>
          <w:sz w:val="22"/>
          <w:szCs w:val="22"/>
          <w:lang w:val="fr-CA"/>
        </w:rPr>
        <w:t> </w:t>
      </w:r>
    </w:p>
    <w:p w14:paraId="27D0D615" w14:textId="77777777" w:rsidR="00596A92" w:rsidRPr="003D6052" w:rsidRDefault="00596A92" w:rsidP="009B1989">
      <w:pPr>
        <w:spacing w:after="0" w:line="240" w:lineRule="auto"/>
        <w:rPr>
          <w:sz w:val="22"/>
          <w:szCs w:val="22"/>
          <w:lang w:val="fr-CA"/>
        </w:rPr>
      </w:pPr>
    </w:p>
    <w:p w14:paraId="523F1101" w14:textId="1929BC62" w:rsidR="009B1989" w:rsidRPr="00AF0B18" w:rsidRDefault="00AF0B18" w:rsidP="009B1989">
      <w:pPr>
        <w:spacing w:after="0" w:line="240" w:lineRule="auto"/>
        <w:rPr>
          <w:sz w:val="22"/>
          <w:szCs w:val="22"/>
          <w:lang w:val="fr-CA"/>
        </w:rPr>
      </w:pPr>
      <w:r w:rsidRPr="00AF0B18">
        <w:rPr>
          <w:sz w:val="22"/>
          <w:szCs w:val="22"/>
          <w:lang w:val="fr-CA"/>
        </w:rPr>
        <w:t>Le f</w:t>
      </w:r>
      <w:r w:rsidR="009B1989" w:rsidRPr="00AF0B18">
        <w:rPr>
          <w:sz w:val="22"/>
          <w:szCs w:val="22"/>
          <w:lang w:val="fr-CA"/>
        </w:rPr>
        <w:t xml:space="preserve">entanyl </w:t>
      </w:r>
      <w:r w:rsidRPr="00AF0B18">
        <w:rPr>
          <w:sz w:val="22"/>
          <w:szCs w:val="22"/>
          <w:lang w:val="fr-CA"/>
        </w:rPr>
        <w:t xml:space="preserve">et ses substances </w:t>
      </w:r>
      <w:r w:rsidR="009B1989" w:rsidRPr="00AF0B18">
        <w:rPr>
          <w:sz w:val="22"/>
          <w:szCs w:val="22"/>
          <w:lang w:val="fr-CA"/>
        </w:rPr>
        <w:t>analogues </w:t>
      </w:r>
      <w:r w:rsidRPr="00AF0B18">
        <w:rPr>
          <w:sz w:val="22"/>
          <w:szCs w:val="22"/>
          <w:lang w:val="fr-CA"/>
        </w:rPr>
        <w:t>sont les principal</w:t>
      </w:r>
      <w:r>
        <w:rPr>
          <w:sz w:val="22"/>
          <w:szCs w:val="22"/>
          <w:lang w:val="fr-CA"/>
        </w:rPr>
        <w:t>e</w:t>
      </w:r>
      <w:r w:rsidRPr="00AF0B18">
        <w:rPr>
          <w:sz w:val="22"/>
          <w:szCs w:val="22"/>
          <w:lang w:val="fr-CA"/>
        </w:rPr>
        <w:t xml:space="preserve">s causes de </w:t>
      </w:r>
      <w:r>
        <w:rPr>
          <w:sz w:val="22"/>
          <w:szCs w:val="22"/>
          <w:lang w:val="fr-CA"/>
        </w:rPr>
        <w:t>la crise des opioïdes au</w:t>
      </w:r>
      <w:r w:rsidR="009B1989" w:rsidRPr="00AF0B18">
        <w:rPr>
          <w:sz w:val="22"/>
          <w:szCs w:val="22"/>
          <w:lang w:val="fr-CA"/>
        </w:rPr>
        <w:t xml:space="preserve"> Canada. </w:t>
      </w:r>
      <w:r w:rsidRPr="00AF0B18">
        <w:rPr>
          <w:sz w:val="22"/>
          <w:szCs w:val="22"/>
          <w:lang w:val="fr-CA"/>
        </w:rPr>
        <w:t xml:space="preserve">La </w:t>
      </w:r>
      <w:r w:rsidR="000D6A42">
        <w:rPr>
          <w:sz w:val="22"/>
          <w:szCs w:val="22"/>
          <w:lang w:val="fr-CA"/>
        </w:rPr>
        <w:t>Campagne</w:t>
      </w:r>
      <w:r w:rsidRPr="00AF0B18">
        <w:rPr>
          <w:sz w:val="22"/>
          <w:szCs w:val="22"/>
          <w:lang w:val="fr-CA"/>
        </w:rPr>
        <w:t> </w:t>
      </w:r>
      <w:r w:rsidR="000A1EC6" w:rsidRPr="00AF0B18">
        <w:rPr>
          <w:sz w:val="22"/>
          <w:szCs w:val="22"/>
          <w:lang w:val="fr-CA"/>
        </w:rPr>
        <w:t>2.0</w:t>
      </w:r>
      <w:r w:rsidRPr="00AF0B18">
        <w:rPr>
          <w:sz w:val="22"/>
          <w:szCs w:val="22"/>
          <w:lang w:val="fr-CA"/>
        </w:rPr>
        <w:t xml:space="preserve"> a mis en lumière la cohésion des organismes canadiens d’application de la loi </w:t>
      </w:r>
      <w:r w:rsidR="00FE23A7">
        <w:rPr>
          <w:sz w:val="22"/>
          <w:szCs w:val="22"/>
          <w:lang w:val="fr-CA"/>
        </w:rPr>
        <w:t>à tous les</w:t>
      </w:r>
      <w:r w:rsidR="00EE05A7">
        <w:rPr>
          <w:sz w:val="22"/>
          <w:szCs w:val="22"/>
          <w:lang w:val="fr-CA"/>
        </w:rPr>
        <w:t xml:space="preserve"> </w:t>
      </w:r>
      <w:r w:rsidRPr="00AF0B18">
        <w:rPr>
          <w:sz w:val="22"/>
          <w:szCs w:val="22"/>
          <w:lang w:val="fr-CA"/>
        </w:rPr>
        <w:t>échelon</w:t>
      </w:r>
      <w:r w:rsidR="00EE05A7">
        <w:rPr>
          <w:sz w:val="22"/>
          <w:szCs w:val="22"/>
          <w:lang w:val="fr-CA"/>
        </w:rPr>
        <w:t>s</w:t>
      </w:r>
      <w:r>
        <w:rPr>
          <w:sz w:val="22"/>
          <w:szCs w:val="22"/>
          <w:lang w:val="fr-CA"/>
        </w:rPr>
        <w:t xml:space="preserve"> </w:t>
      </w:r>
      <w:r w:rsidRPr="00AF0B18">
        <w:rPr>
          <w:sz w:val="22"/>
          <w:szCs w:val="22"/>
          <w:lang w:val="fr-CA"/>
        </w:rPr>
        <w:t>et leur d</w:t>
      </w:r>
      <w:r>
        <w:rPr>
          <w:sz w:val="22"/>
          <w:szCs w:val="22"/>
          <w:lang w:val="fr-CA"/>
        </w:rPr>
        <w:t>é</w:t>
      </w:r>
      <w:r w:rsidRPr="00AF0B18">
        <w:rPr>
          <w:sz w:val="22"/>
          <w:szCs w:val="22"/>
          <w:lang w:val="fr-CA"/>
        </w:rPr>
        <w:t xml:space="preserve">termination </w:t>
      </w:r>
      <w:r>
        <w:rPr>
          <w:sz w:val="22"/>
          <w:szCs w:val="22"/>
          <w:lang w:val="fr-CA"/>
        </w:rPr>
        <w:t>à lutter contre la</w:t>
      </w:r>
      <w:r w:rsidR="009B1989" w:rsidRPr="00AF0B18">
        <w:rPr>
          <w:sz w:val="22"/>
          <w:szCs w:val="22"/>
          <w:lang w:val="fr-CA"/>
        </w:rPr>
        <w:t xml:space="preserve"> production </w:t>
      </w:r>
      <w:r>
        <w:rPr>
          <w:sz w:val="22"/>
          <w:szCs w:val="22"/>
          <w:lang w:val="fr-CA"/>
        </w:rPr>
        <w:t>et la</w:t>
      </w:r>
      <w:r w:rsidR="009B1989" w:rsidRPr="00AF0B18">
        <w:rPr>
          <w:sz w:val="22"/>
          <w:szCs w:val="22"/>
          <w:lang w:val="fr-CA"/>
        </w:rPr>
        <w:t xml:space="preserve"> distribution </w:t>
      </w:r>
      <w:r>
        <w:rPr>
          <w:sz w:val="22"/>
          <w:szCs w:val="22"/>
          <w:lang w:val="fr-CA"/>
        </w:rPr>
        <w:t>de</w:t>
      </w:r>
      <w:r w:rsidR="009B1989" w:rsidRPr="00AF0B18">
        <w:rPr>
          <w:sz w:val="22"/>
          <w:szCs w:val="22"/>
          <w:lang w:val="fr-CA"/>
        </w:rPr>
        <w:t xml:space="preserve"> fentanyl </w:t>
      </w:r>
      <w:r>
        <w:rPr>
          <w:sz w:val="22"/>
          <w:szCs w:val="22"/>
          <w:lang w:val="fr-CA"/>
        </w:rPr>
        <w:t>et d’autres opioïdes</w:t>
      </w:r>
      <w:r w:rsidR="009B1989" w:rsidRPr="00AF0B18">
        <w:rPr>
          <w:sz w:val="22"/>
          <w:szCs w:val="22"/>
          <w:lang w:val="fr-CA"/>
        </w:rPr>
        <w:t xml:space="preserve"> synth</w:t>
      </w:r>
      <w:r>
        <w:rPr>
          <w:sz w:val="22"/>
          <w:szCs w:val="22"/>
          <w:lang w:val="fr-CA"/>
        </w:rPr>
        <w:t>é</w:t>
      </w:r>
      <w:r w:rsidR="009B1989" w:rsidRPr="00AF0B18">
        <w:rPr>
          <w:sz w:val="22"/>
          <w:szCs w:val="22"/>
          <w:lang w:val="fr-CA"/>
        </w:rPr>
        <w:t>ti</w:t>
      </w:r>
      <w:r>
        <w:rPr>
          <w:sz w:val="22"/>
          <w:szCs w:val="22"/>
          <w:lang w:val="fr-CA"/>
        </w:rPr>
        <w:t xml:space="preserve">ques </w:t>
      </w:r>
      <w:r w:rsidR="00EE05A7">
        <w:rPr>
          <w:sz w:val="22"/>
          <w:szCs w:val="22"/>
          <w:lang w:val="fr-CA"/>
        </w:rPr>
        <w:t>au C</w:t>
      </w:r>
      <w:r>
        <w:rPr>
          <w:sz w:val="22"/>
          <w:szCs w:val="22"/>
          <w:lang w:val="fr-CA"/>
        </w:rPr>
        <w:t>anad</w:t>
      </w:r>
      <w:r w:rsidR="00EE05A7">
        <w:rPr>
          <w:sz w:val="22"/>
          <w:szCs w:val="22"/>
          <w:lang w:val="fr-CA"/>
        </w:rPr>
        <w:t>a</w:t>
      </w:r>
      <w:r w:rsidR="009B1989" w:rsidRPr="00AF0B18">
        <w:rPr>
          <w:sz w:val="22"/>
          <w:szCs w:val="22"/>
          <w:lang w:val="fr-CA"/>
        </w:rPr>
        <w:t>. </w:t>
      </w:r>
    </w:p>
    <w:p w14:paraId="587C29AE" w14:textId="77777777" w:rsidR="009B1989" w:rsidRPr="00AF0B18" w:rsidRDefault="009B1989" w:rsidP="009B1989">
      <w:pPr>
        <w:spacing w:after="0" w:line="240" w:lineRule="auto"/>
        <w:rPr>
          <w:sz w:val="22"/>
          <w:szCs w:val="22"/>
          <w:lang w:val="fr-CA"/>
        </w:rPr>
      </w:pPr>
    </w:p>
    <w:p w14:paraId="2E57DBA4" w14:textId="32AA328E" w:rsidR="009B1989" w:rsidRPr="00D00DB0" w:rsidRDefault="00AF0B18" w:rsidP="009B1989">
      <w:pPr>
        <w:spacing w:after="0" w:line="240" w:lineRule="auto"/>
        <w:rPr>
          <w:sz w:val="22"/>
          <w:szCs w:val="22"/>
          <w:lang w:val="fr-CA"/>
        </w:rPr>
      </w:pPr>
      <w:r w:rsidRPr="00AF0B18">
        <w:rPr>
          <w:sz w:val="22"/>
          <w:szCs w:val="22"/>
          <w:lang w:val="fr-CA"/>
        </w:rPr>
        <w:t>Cette initiative fait suite à</w:t>
      </w:r>
      <w:r w:rsidR="009B1989" w:rsidRPr="00AF0B18">
        <w:rPr>
          <w:sz w:val="22"/>
          <w:szCs w:val="22"/>
          <w:lang w:val="fr-CA"/>
        </w:rPr>
        <w:t xml:space="preserve"> </w:t>
      </w:r>
      <w:r w:rsidRPr="00AF0B18">
        <w:rPr>
          <w:sz w:val="22"/>
          <w:szCs w:val="22"/>
          <w:lang w:val="fr-CA"/>
        </w:rPr>
        <w:t xml:space="preserve">la </w:t>
      </w:r>
      <w:hyperlink r:id="rId7" w:history="1">
        <w:r w:rsidRPr="00AF0B18">
          <w:rPr>
            <w:rStyle w:val="Hyperlink"/>
            <w:sz w:val="22"/>
            <w:szCs w:val="22"/>
            <w:lang w:val="fr-CA"/>
          </w:rPr>
          <w:t xml:space="preserve">première </w:t>
        </w:r>
        <w:r w:rsidR="000D6A42">
          <w:rPr>
            <w:rStyle w:val="Hyperlink"/>
            <w:sz w:val="22"/>
            <w:szCs w:val="22"/>
            <w:lang w:val="fr-CA"/>
          </w:rPr>
          <w:t>campagne</w:t>
        </w:r>
      </w:hyperlink>
      <w:r w:rsidR="009B1989" w:rsidRPr="00AF0B18">
        <w:rPr>
          <w:sz w:val="22"/>
          <w:szCs w:val="22"/>
          <w:lang w:val="fr-CA"/>
        </w:rPr>
        <w:t xml:space="preserve">, </w:t>
      </w:r>
      <w:r w:rsidRPr="00AF0B18">
        <w:rPr>
          <w:sz w:val="22"/>
          <w:szCs w:val="22"/>
          <w:lang w:val="fr-CA"/>
        </w:rPr>
        <w:t xml:space="preserve">qui s’est déroulée du </w:t>
      </w:r>
      <w:r>
        <w:rPr>
          <w:sz w:val="22"/>
          <w:szCs w:val="22"/>
          <w:lang w:val="fr-CA"/>
        </w:rPr>
        <w:t>9 dé</w:t>
      </w:r>
      <w:r w:rsidR="009B1989" w:rsidRPr="00AF0B18">
        <w:rPr>
          <w:sz w:val="22"/>
          <w:szCs w:val="22"/>
          <w:lang w:val="fr-CA"/>
        </w:rPr>
        <w:t>cemb</w:t>
      </w:r>
      <w:r>
        <w:rPr>
          <w:sz w:val="22"/>
          <w:szCs w:val="22"/>
          <w:lang w:val="fr-CA"/>
        </w:rPr>
        <w:t>r</w:t>
      </w:r>
      <w:r w:rsidR="009B1989" w:rsidRPr="00AF0B18">
        <w:rPr>
          <w:sz w:val="22"/>
          <w:szCs w:val="22"/>
          <w:lang w:val="fr-CA"/>
        </w:rPr>
        <w:t>e</w:t>
      </w:r>
      <w:r>
        <w:rPr>
          <w:sz w:val="22"/>
          <w:szCs w:val="22"/>
          <w:lang w:val="fr-CA"/>
        </w:rPr>
        <w:t> </w:t>
      </w:r>
      <w:r w:rsidR="009B1989" w:rsidRPr="00AF0B18">
        <w:rPr>
          <w:sz w:val="22"/>
          <w:szCs w:val="22"/>
          <w:lang w:val="fr-CA"/>
        </w:rPr>
        <w:t>2024</w:t>
      </w:r>
      <w:r>
        <w:rPr>
          <w:sz w:val="22"/>
          <w:szCs w:val="22"/>
          <w:lang w:val="fr-CA"/>
        </w:rPr>
        <w:t xml:space="preserve"> au</w:t>
      </w:r>
      <w:r w:rsidR="009B1989" w:rsidRPr="00AF0B18">
        <w:rPr>
          <w:sz w:val="22"/>
          <w:szCs w:val="22"/>
          <w:lang w:val="fr-CA"/>
        </w:rPr>
        <w:t xml:space="preserve"> 18</w:t>
      </w:r>
      <w:r>
        <w:rPr>
          <w:sz w:val="22"/>
          <w:szCs w:val="22"/>
          <w:lang w:val="fr-CA"/>
        </w:rPr>
        <w:t> janvier </w:t>
      </w:r>
      <w:r w:rsidR="009B1989" w:rsidRPr="00AF0B18">
        <w:rPr>
          <w:sz w:val="22"/>
          <w:szCs w:val="22"/>
          <w:lang w:val="fr-CA"/>
        </w:rPr>
        <w:t xml:space="preserve">2025 </w:t>
      </w:r>
      <w:r>
        <w:rPr>
          <w:sz w:val="22"/>
          <w:szCs w:val="22"/>
          <w:lang w:val="fr-CA"/>
        </w:rPr>
        <w:t xml:space="preserve">et qui, malgré sa courte durée, a produit des résultats </w:t>
      </w:r>
      <w:r w:rsidR="00A74185">
        <w:rPr>
          <w:sz w:val="22"/>
          <w:szCs w:val="22"/>
          <w:lang w:val="fr-CA"/>
        </w:rPr>
        <w:t>notables</w:t>
      </w:r>
      <w:r w:rsidR="009B1989" w:rsidRPr="00AF0B18">
        <w:rPr>
          <w:sz w:val="22"/>
          <w:szCs w:val="22"/>
          <w:lang w:val="fr-CA"/>
        </w:rPr>
        <w:t>. </w:t>
      </w:r>
      <w:r w:rsidR="00A74185" w:rsidRPr="00D00DB0">
        <w:rPr>
          <w:sz w:val="22"/>
          <w:szCs w:val="22"/>
          <w:lang w:val="fr-CA"/>
        </w:rPr>
        <w:t xml:space="preserve">La </w:t>
      </w:r>
      <w:r w:rsidR="000D6A42">
        <w:rPr>
          <w:sz w:val="22"/>
          <w:szCs w:val="22"/>
          <w:lang w:val="fr-CA"/>
        </w:rPr>
        <w:t>Campagne</w:t>
      </w:r>
      <w:r w:rsidR="00A74185" w:rsidRPr="00D00DB0">
        <w:rPr>
          <w:sz w:val="22"/>
          <w:szCs w:val="22"/>
          <w:lang w:val="fr-CA"/>
        </w:rPr>
        <w:t> 2.0, qui réunit encore plus de</w:t>
      </w:r>
      <w:r w:rsidR="009B1989" w:rsidRPr="00D00DB0">
        <w:rPr>
          <w:sz w:val="22"/>
          <w:szCs w:val="22"/>
          <w:lang w:val="fr-CA"/>
        </w:rPr>
        <w:t xml:space="preserve"> participants, </w:t>
      </w:r>
      <w:r w:rsidR="00A74185" w:rsidRPr="00D00DB0">
        <w:rPr>
          <w:sz w:val="22"/>
          <w:szCs w:val="22"/>
          <w:lang w:val="fr-CA"/>
        </w:rPr>
        <w:t xml:space="preserve">montre </w:t>
      </w:r>
      <w:r w:rsidR="00D00DB0" w:rsidRPr="00D00DB0">
        <w:rPr>
          <w:sz w:val="22"/>
          <w:szCs w:val="22"/>
          <w:lang w:val="fr-CA"/>
        </w:rPr>
        <w:t>tout ce qui pe</w:t>
      </w:r>
      <w:r w:rsidR="00D00DB0">
        <w:rPr>
          <w:sz w:val="22"/>
          <w:szCs w:val="22"/>
          <w:lang w:val="fr-CA"/>
        </w:rPr>
        <w:t xml:space="preserve">ut être accompli lorsque les services de police, les services de renseignement et les partenaires </w:t>
      </w:r>
      <w:r w:rsidR="009B1989" w:rsidRPr="00D00DB0">
        <w:rPr>
          <w:sz w:val="22"/>
          <w:szCs w:val="22"/>
          <w:lang w:val="fr-CA"/>
        </w:rPr>
        <w:t>go</w:t>
      </w:r>
      <w:r w:rsidR="00D00DB0">
        <w:rPr>
          <w:sz w:val="22"/>
          <w:szCs w:val="22"/>
          <w:lang w:val="fr-CA"/>
        </w:rPr>
        <w:t>u</w:t>
      </w:r>
      <w:r w:rsidR="009B1989" w:rsidRPr="00D00DB0">
        <w:rPr>
          <w:sz w:val="22"/>
          <w:szCs w:val="22"/>
          <w:lang w:val="fr-CA"/>
        </w:rPr>
        <w:t>vern</w:t>
      </w:r>
      <w:r w:rsidR="00D00DB0">
        <w:rPr>
          <w:sz w:val="22"/>
          <w:szCs w:val="22"/>
          <w:lang w:val="fr-CA"/>
        </w:rPr>
        <w:t>e</w:t>
      </w:r>
      <w:r w:rsidR="009B1989" w:rsidRPr="00D00DB0">
        <w:rPr>
          <w:sz w:val="22"/>
          <w:szCs w:val="22"/>
          <w:lang w:val="fr-CA"/>
        </w:rPr>
        <w:t>ment</w:t>
      </w:r>
      <w:r w:rsidR="00D00DB0">
        <w:rPr>
          <w:sz w:val="22"/>
          <w:szCs w:val="22"/>
          <w:lang w:val="fr-CA"/>
        </w:rPr>
        <w:t>aux unissent leurs efforts</w:t>
      </w:r>
      <w:r w:rsidR="009B1989" w:rsidRPr="00D00DB0">
        <w:rPr>
          <w:sz w:val="22"/>
          <w:szCs w:val="22"/>
          <w:lang w:val="fr-CA"/>
        </w:rPr>
        <w:t>. </w:t>
      </w:r>
    </w:p>
    <w:p w14:paraId="7B91FDD6" w14:textId="77777777" w:rsidR="009B1989" w:rsidRPr="00D00DB0" w:rsidRDefault="009B1989" w:rsidP="009B1989">
      <w:pPr>
        <w:spacing w:after="0" w:line="240" w:lineRule="auto"/>
        <w:rPr>
          <w:sz w:val="22"/>
          <w:szCs w:val="22"/>
          <w:lang w:val="fr-CA"/>
        </w:rPr>
      </w:pPr>
      <w:r w:rsidRPr="00D00DB0">
        <w:rPr>
          <w:sz w:val="22"/>
          <w:szCs w:val="22"/>
          <w:lang w:val="fr-CA"/>
        </w:rPr>
        <w:t> </w:t>
      </w:r>
    </w:p>
    <w:p w14:paraId="2AC40416" w14:textId="5D1B674A" w:rsidR="009B1989" w:rsidRPr="001E489E" w:rsidRDefault="00D00DB0" w:rsidP="009B1989">
      <w:pPr>
        <w:spacing w:after="0" w:line="240" w:lineRule="auto"/>
        <w:rPr>
          <w:sz w:val="22"/>
          <w:szCs w:val="22"/>
          <w:lang w:val="fr-CA"/>
        </w:rPr>
      </w:pPr>
      <w:r>
        <w:rPr>
          <w:b/>
          <w:bCs/>
          <w:sz w:val="22"/>
          <w:szCs w:val="22"/>
          <w:lang w:val="fr-CA"/>
        </w:rPr>
        <w:t>CITATIONS</w:t>
      </w:r>
      <w:r w:rsidR="009B1989" w:rsidRPr="001E489E">
        <w:rPr>
          <w:sz w:val="22"/>
          <w:szCs w:val="22"/>
          <w:lang w:val="fr-CA"/>
        </w:rPr>
        <w:t> </w:t>
      </w:r>
    </w:p>
    <w:p w14:paraId="3CDD97E2" w14:textId="77777777" w:rsidR="009B1989" w:rsidRPr="001E489E" w:rsidRDefault="009B1989" w:rsidP="009B1989">
      <w:pPr>
        <w:spacing w:after="0" w:line="240" w:lineRule="auto"/>
        <w:rPr>
          <w:sz w:val="22"/>
          <w:szCs w:val="22"/>
          <w:lang w:val="fr-CA"/>
        </w:rPr>
      </w:pPr>
      <w:r w:rsidRPr="001E489E">
        <w:rPr>
          <w:sz w:val="22"/>
          <w:szCs w:val="22"/>
          <w:lang w:val="fr-CA"/>
        </w:rPr>
        <w:t> </w:t>
      </w:r>
    </w:p>
    <w:p w14:paraId="3D58F916" w14:textId="5158600D" w:rsidR="00927F78" w:rsidRPr="00EE05A7" w:rsidRDefault="00D00DB0" w:rsidP="00927F78">
      <w:pPr>
        <w:spacing w:after="0" w:line="240" w:lineRule="auto"/>
        <w:rPr>
          <w:sz w:val="22"/>
          <w:szCs w:val="22"/>
          <w:lang w:val="fr-CA"/>
        </w:rPr>
      </w:pPr>
      <w:r>
        <w:rPr>
          <w:sz w:val="22"/>
          <w:szCs w:val="22"/>
          <w:lang w:val="fr-CA"/>
        </w:rPr>
        <w:t>« L’objectif de la RICCO est clair </w:t>
      </w:r>
      <w:r w:rsidR="009B1989" w:rsidRPr="001E489E">
        <w:rPr>
          <w:sz w:val="22"/>
          <w:szCs w:val="22"/>
          <w:lang w:val="fr-CA"/>
        </w:rPr>
        <w:t>: coord</w:t>
      </w:r>
      <w:r>
        <w:rPr>
          <w:sz w:val="22"/>
          <w:szCs w:val="22"/>
          <w:lang w:val="fr-CA"/>
        </w:rPr>
        <w:t xml:space="preserve">onner les démarches visant à détecter </w:t>
      </w:r>
      <w:r w:rsidR="00927F78">
        <w:rPr>
          <w:sz w:val="22"/>
          <w:szCs w:val="22"/>
          <w:lang w:val="fr-CA"/>
        </w:rPr>
        <w:t>les activités du crime organisé, à lutter contre elles et à déstabiliser le crime organisé</w:t>
      </w:r>
      <w:r w:rsidR="009B1989" w:rsidRPr="001E489E">
        <w:rPr>
          <w:sz w:val="22"/>
          <w:szCs w:val="22"/>
          <w:lang w:val="fr-CA"/>
        </w:rPr>
        <w:t>. </w:t>
      </w:r>
      <w:r w:rsidR="00927F78" w:rsidRPr="00EE05A7">
        <w:rPr>
          <w:sz w:val="22"/>
          <w:szCs w:val="22"/>
          <w:lang w:val="fr-CA"/>
        </w:rPr>
        <w:t xml:space="preserve">La collaboration entre les organismes d’application de la loi, les services de renseignement et les partenaires gouvernementaux canadiens est essentielle pour la sécurité de nos collectivités. Les résultats annoncés aujourd'hui témoignent de la ténacité d'innombrables membres de la communauté de l’application de la loi qui suivent toutes les pistes </w:t>
      </w:r>
      <w:r w:rsidR="00FE23A7">
        <w:rPr>
          <w:sz w:val="22"/>
          <w:szCs w:val="22"/>
          <w:lang w:val="fr-CA"/>
        </w:rPr>
        <w:t>afin de</w:t>
      </w:r>
      <w:r w:rsidR="00927F78" w:rsidRPr="00EE05A7">
        <w:rPr>
          <w:sz w:val="22"/>
          <w:szCs w:val="22"/>
          <w:lang w:val="fr-CA"/>
        </w:rPr>
        <w:t xml:space="preserve"> perturber l'importation, la production et le trafic de fentanyl et</w:t>
      </w:r>
      <w:r w:rsidR="00DF5816">
        <w:rPr>
          <w:sz w:val="22"/>
          <w:szCs w:val="22"/>
          <w:lang w:val="fr-CA"/>
        </w:rPr>
        <w:t xml:space="preserve"> de </w:t>
      </w:r>
      <w:r w:rsidR="00927F78" w:rsidRPr="00EE05A7">
        <w:rPr>
          <w:sz w:val="22"/>
          <w:szCs w:val="22"/>
          <w:lang w:val="fr-CA"/>
        </w:rPr>
        <w:t>démanteler les réseaux à l’origine de ces activités criminelles. »</w:t>
      </w:r>
    </w:p>
    <w:p w14:paraId="7628D4F4" w14:textId="5D70921A" w:rsidR="009B1989" w:rsidRPr="001E489E" w:rsidRDefault="009B1989" w:rsidP="009B1989">
      <w:pPr>
        <w:spacing w:after="0" w:line="240" w:lineRule="auto"/>
        <w:rPr>
          <w:sz w:val="22"/>
          <w:szCs w:val="22"/>
          <w:lang w:val="fr-CA"/>
        </w:rPr>
      </w:pPr>
    </w:p>
    <w:p w14:paraId="177E7F7E" w14:textId="0F92E6E0" w:rsidR="009B1989" w:rsidRPr="00927F78" w:rsidRDefault="009B1989" w:rsidP="009B1989">
      <w:pPr>
        <w:numPr>
          <w:ilvl w:val="0"/>
          <w:numId w:val="8"/>
        </w:numPr>
        <w:spacing w:after="0" w:line="240" w:lineRule="auto"/>
        <w:rPr>
          <w:sz w:val="22"/>
          <w:szCs w:val="22"/>
          <w:lang w:val="fr-CA"/>
        </w:rPr>
      </w:pPr>
      <w:r w:rsidRPr="00927F78">
        <w:rPr>
          <w:sz w:val="22"/>
          <w:szCs w:val="22"/>
          <w:lang w:val="fr-CA"/>
        </w:rPr>
        <w:t>Bonnie Ferguson, </w:t>
      </w:r>
      <w:bookmarkStart w:id="1" w:name="_Hlk215213904"/>
      <w:r w:rsidR="00927F78" w:rsidRPr="00927F78">
        <w:rPr>
          <w:sz w:val="22"/>
          <w:szCs w:val="22"/>
          <w:lang w:val="fr-CA"/>
        </w:rPr>
        <w:t xml:space="preserve">commissaire adjointe à </w:t>
      </w:r>
      <w:r w:rsidR="00927F78">
        <w:rPr>
          <w:sz w:val="22"/>
          <w:szCs w:val="22"/>
          <w:lang w:val="fr-CA"/>
        </w:rPr>
        <w:t>la G</w:t>
      </w:r>
      <w:r w:rsidRPr="00927F78">
        <w:rPr>
          <w:sz w:val="22"/>
          <w:szCs w:val="22"/>
          <w:lang w:val="fr-CA"/>
        </w:rPr>
        <w:t>RC</w:t>
      </w:r>
      <w:r w:rsidR="00927F78">
        <w:rPr>
          <w:sz w:val="22"/>
          <w:szCs w:val="22"/>
          <w:lang w:val="fr-CA"/>
        </w:rPr>
        <w:t xml:space="preserve"> et coprésidente de la RICCO</w:t>
      </w:r>
      <w:r w:rsidRPr="00927F78">
        <w:rPr>
          <w:sz w:val="22"/>
          <w:szCs w:val="22"/>
          <w:lang w:val="fr-CA"/>
        </w:rPr>
        <w:t> </w:t>
      </w:r>
      <w:bookmarkEnd w:id="1"/>
    </w:p>
    <w:p w14:paraId="6AEDB925" w14:textId="77777777" w:rsidR="009B1989" w:rsidRPr="00927F78" w:rsidRDefault="009B1989" w:rsidP="009B1989">
      <w:pPr>
        <w:spacing w:after="0" w:line="240" w:lineRule="auto"/>
        <w:rPr>
          <w:sz w:val="22"/>
          <w:szCs w:val="22"/>
          <w:lang w:val="fr-CA"/>
        </w:rPr>
      </w:pPr>
      <w:r w:rsidRPr="00927F78">
        <w:rPr>
          <w:sz w:val="22"/>
          <w:szCs w:val="22"/>
          <w:lang w:val="fr-CA"/>
        </w:rPr>
        <w:t> </w:t>
      </w:r>
    </w:p>
    <w:p w14:paraId="08E59B51" w14:textId="5DC81834" w:rsidR="009B1989" w:rsidRPr="00164147" w:rsidRDefault="00927F78" w:rsidP="009B1989">
      <w:pPr>
        <w:spacing w:after="0" w:line="240" w:lineRule="auto"/>
        <w:rPr>
          <w:sz w:val="22"/>
          <w:szCs w:val="22"/>
          <w:lang w:val="fr-CA"/>
        </w:rPr>
      </w:pPr>
      <w:r w:rsidRPr="00164147">
        <w:rPr>
          <w:sz w:val="22"/>
          <w:szCs w:val="22"/>
          <w:lang w:val="fr-CA"/>
        </w:rPr>
        <w:t xml:space="preserve">« Les résultats significatifs obtenus grâce aux efforts conjoints des organismes canadiens d’application de la loi et des partenaires clés dans la </w:t>
      </w:r>
      <w:r w:rsidR="000D6A42">
        <w:rPr>
          <w:sz w:val="22"/>
          <w:szCs w:val="22"/>
          <w:lang w:val="fr-CA"/>
        </w:rPr>
        <w:t>Campagne de lutte contre l</w:t>
      </w:r>
      <w:r w:rsidRPr="00164147">
        <w:rPr>
          <w:sz w:val="22"/>
          <w:szCs w:val="22"/>
          <w:lang w:val="fr-CA"/>
        </w:rPr>
        <w:t>e fentanyl 2.0 démontrent notre capacité d’adaptation à chaque étape de la lutte contre le trafic de drogue. En favorisant la mise en commun de</w:t>
      </w:r>
      <w:r w:rsidR="00EE05A7">
        <w:rPr>
          <w:sz w:val="22"/>
          <w:szCs w:val="22"/>
          <w:lang w:val="fr-CA"/>
        </w:rPr>
        <w:t>s</w:t>
      </w:r>
      <w:r w:rsidRPr="00164147">
        <w:rPr>
          <w:sz w:val="22"/>
          <w:szCs w:val="22"/>
          <w:lang w:val="fr-CA"/>
        </w:rPr>
        <w:t xml:space="preserve"> renseignements, de</w:t>
      </w:r>
      <w:r w:rsidR="00EE05A7">
        <w:rPr>
          <w:sz w:val="22"/>
          <w:szCs w:val="22"/>
          <w:lang w:val="fr-CA"/>
        </w:rPr>
        <w:t>s</w:t>
      </w:r>
      <w:r w:rsidRPr="00164147">
        <w:rPr>
          <w:sz w:val="22"/>
          <w:szCs w:val="22"/>
          <w:lang w:val="fr-CA"/>
        </w:rPr>
        <w:t xml:space="preserve"> pratiques exemplaires et de</w:t>
      </w:r>
      <w:r w:rsidR="00EE05A7">
        <w:rPr>
          <w:sz w:val="22"/>
          <w:szCs w:val="22"/>
          <w:lang w:val="fr-CA"/>
        </w:rPr>
        <w:t>s</w:t>
      </w:r>
      <w:r w:rsidRPr="00164147">
        <w:rPr>
          <w:sz w:val="22"/>
          <w:szCs w:val="22"/>
          <w:lang w:val="fr-CA"/>
        </w:rPr>
        <w:t xml:space="preserve"> ressources, la RICCO permet aux organismes de faire front commun pour lutter contre les réseaux criminels impliqués dans le trafic de fentanyl et d’autres opioïdes</w:t>
      </w:r>
      <w:r w:rsidR="00EE05A7">
        <w:rPr>
          <w:sz w:val="22"/>
          <w:szCs w:val="22"/>
          <w:lang w:val="fr-CA"/>
        </w:rPr>
        <w:t xml:space="preserve"> ainsi que</w:t>
      </w:r>
      <w:r w:rsidRPr="00164147">
        <w:rPr>
          <w:sz w:val="22"/>
          <w:szCs w:val="22"/>
          <w:lang w:val="fr-CA"/>
        </w:rPr>
        <w:t xml:space="preserve"> leurs collaborateurs et le</w:t>
      </w:r>
      <w:r w:rsidR="00164147" w:rsidRPr="00164147">
        <w:rPr>
          <w:sz w:val="22"/>
          <w:szCs w:val="22"/>
          <w:lang w:val="fr-CA"/>
        </w:rPr>
        <w:t xml:space="preserve">urs </w:t>
      </w:r>
      <w:r w:rsidR="00164147">
        <w:rPr>
          <w:sz w:val="22"/>
          <w:szCs w:val="22"/>
          <w:lang w:val="fr-CA"/>
        </w:rPr>
        <w:t>produits</w:t>
      </w:r>
      <w:r w:rsidRPr="00164147">
        <w:rPr>
          <w:sz w:val="22"/>
          <w:szCs w:val="22"/>
          <w:lang w:val="fr-CA"/>
        </w:rPr>
        <w:t xml:space="preserve"> illicites</w:t>
      </w:r>
      <w:r w:rsidR="0033511E" w:rsidRPr="00164147">
        <w:rPr>
          <w:sz w:val="22"/>
          <w:szCs w:val="22"/>
          <w:lang w:val="fr-CA"/>
        </w:rPr>
        <w:t>.</w:t>
      </w:r>
      <w:r w:rsidR="00164147" w:rsidRPr="00164147">
        <w:rPr>
          <w:sz w:val="22"/>
          <w:szCs w:val="22"/>
          <w:lang w:val="fr-CA"/>
        </w:rPr>
        <w:t> »</w:t>
      </w:r>
    </w:p>
    <w:p w14:paraId="6055D8A7" w14:textId="77777777" w:rsidR="004F6AD0" w:rsidRPr="00164147" w:rsidRDefault="004F6AD0" w:rsidP="009B1989">
      <w:pPr>
        <w:spacing w:after="0" w:line="240" w:lineRule="auto"/>
        <w:rPr>
          <w:sz w:val="22"/>
          <w:szCs w:val="22"/>
          <w:lang w:val="fr-CA"/>
        </w:rPr>
      </w:pPr>
    </w:p>
    <w:p w14:paraId="275C61E5" w14:textId="68666589" w:rsidR="009B1989" w:rsidRPr="00164147" w:rsidRDefault="000A1EC6" w:rsidP="004F6AD0">
      <w:pPr>
        <w:numPr>
          <w:ilvl w:val="0"/>
          <w:numId w:val="8"/>
        </w:numPr>
        <w:spacing w:after="0" w:line="240" w:lineRule="auto"/>
        <w:rPr>
          <w:sz w:val="22"/>
          <w:szCs w:val="22"/>
          <w:lang w:val="fr-CA"/>
        </w:rPr>
      </w:pPr>
      <w:r w:rsidRPr="00164147">
        <w:rPr>
          <w:sz w:val="22"/>
          <w:szCs w:val="22"/>
          <w:lang w:val="fr-CA"/>
        </w:rPr>
        <w:t>Beno</w:t>
      </w:r>
      <w:r w:rsidR="001922AB" w:rsidRPr="00164147">
        <w:rPr>
          <w:sz w:val="22"/>
          <w:szCs w:val="22"/>
          <w:lang w:val="fr-CA"/>
        </w:rPr>
        <w:t>î</w:t>
      </w:r>
      <w:r w:rsidRPr="00164147">
        <w:rPr>
          <w:sz w:val="22"/>
          <w:szCs w:val="22"/>
          <w:lang w:val="fr-CA"/>
        </w:rPr>
        <w:t xml:space="preserve">t Dubé, </w:t>
      </w:r>
      <w:r w:rsidR="00164147" w:rsidRPr="00164147">
        <w:rPr>
          <w:sz w:val="22"/>
          <w:szCs w:val="22"/>
          <w:lang w:val="fr-CA"/>
        </w:rPr>
        <w:t>directeur général adjoint à la Sûreté du Québec et coprésident de la RICCO</w:t>
      </w:r>
    </w:p>
    <w:p w14:paraId="65A06728" w14:textId="77777777" w:rsidR="009B1989" w:rsidRPr="001E489E" w:rsidRDefault="009B1989" w:rsidP="009B1989">
      <w:pPr>
        <w:spacing w:after="0" w:line="240" w:lineRule="auto"/>
        <w:ind w:left="720"/>
        <w:rPr>
          <w:sz w:val="22"/>
          <w:szCs w:val="22"/>
          <w:lang w:val="fr-CA"/>
        </w:rPr>
      </w:pPr>
    </w:p>
    <w:p w14:paraId="7253B3A2" w14:textId="3B5231DB" w:rsidR="009B1989" w:rsidRPr="008D7050" w:rsidRDefault="009B1989" w:rsidP="009B1989">
      <w:pPr>
        <w:spacing w:after="0" w:line="240" w:lineRule="auto"/>
        <w:rPr>
          <w:sz w:val="22"/>
          <w:szCs w:val="22"/>
          <w:lang w:val="fr-CA"/>
        </w:rPr>
      </w:pPr>
      <w:r w:rsidRPr="008D7050">
        <w:rPr>
          <w:b/>
          <w:bCs/>
          <w:sz w:val="22"/>
          <w:szCs w:val="22"/>
          <w:lang w:val="fr-CA"/>
        </w:rPr>
        <w:t>RES</w:t>
      </w:r>
      <w:r w:rsidR="00164147" w:rsidRPr="008D7050">
        <w:rPr>
          <w:b/>
          <w:bCs/>
          <w:sz w:val="22"/>
          <w:szCs w:val="22"/>
          <w:lang w:val="fr-CA"/>
        </w:rPr>
        <w:t>S</w:t>
      </w:r>
      <w:r w:rsidRPr="008D7050">
        <w:rPr>
          <w:b/>
          <w:bCs/>
          <w:sz w:val="22"/>
          <w:szCs w:val="22"/>
          <w:lang w:val="fr-CA"/>
        </w:rPr>
        <w:t>OURCES</w:t>
      </w:r>
    </w:p>
    <w:p w14:paraId="3826F7D8" w14:textId="413BC10F" w:rsidR="009B1989" w:rsidRPr="001E3396" w:rsidRDefault="00164147" w:rsidP="009B1989">
      <w:pPr>
        <w:spacing w:after="0" w:line="240" w:lineRule="auto"/>
        <w:rPr>
          <w:sz w:val="22"/>
          <w:szCs w:val="22"/>
          <w:lang w:val="fr-CA"/>
        </w:rPr>
      </w:pPr>
      <w:r w:rsidRPr="2EF873C3">
        <w:rPr>
          <w:sz w:val="22"/>
          <w:szCs w:val="22"/>
          <w:lang w:val="fr-CA"/>
        </w:rPr>
        <w:t>Une fiche d’information</w:t>
      </w:r>
      <w:r w:rsidR="009B1989" w:rsidRPr="2EF873C3">
        <w:rPr>
          <w:sz w:val="22"/>
          <w:szCs w:val="22"/>
          <w:lang w:val="fr-CA"/>
        </w:rPr>
        <w:t xml:space="preserve">, </w:t>
      </w:r>
      <w:r w:rsidR="001E3396" w:rsidRPr="2EF873C3">
        <w:rPr>
          <w:sz w:val="22"/>
          <w:szCs w:val="22"/>
          <w:lang w:val="fr-CA"/>
        </w:rPr>
        <w:t>une</w:t>
      </w:r>
      <w:r w:rsidR="009B1989" w:rsidRPr="2EF873C3">
        <w:rPr>
          <w:sz w:val="22"/>
          <w:szCs w:val="22"/>
          <w:lang w:val="fr-CA"/>
        </w:rPr>
        <w:t xml:space="preserve"> infographi</w:t>
      </w:r>
      <w:r w:rsidR="001E3396" w:rsidRPr="2EF873C3">
        <w:rPr>
          <w:sz w:val="22"/>
          <w:szCs w:val="22"/>
          <w:lang w:val="fr-CA"/>
        </w:rPr>
        <w:t>e et des déclarations sur vidéo provenant des représentants de</w:t>
      </w:r>
      <w:r w:rsidR="00EE05A7" w:rsidRPr="2EF873C3">
        <w:rPr>
          <w:sz w:val="22"/>
          <w:szCs w:val="22"/>
          <w:lang w:val="fr-CA"/>
        </w:rPr>
        <w:t>s</w:t>
      </w:r>
      <w:r w:rsidR="001E3396" w:rsidRPr="2EF873C3">
        <w:rPr>
          <w:sz w:val="22"/>
          <w:szCs w:val="22"/>
          <w:lang w:val="fr-CA"/>
        </w:rPr>
        <w:t xml:space="preserve"> partenaires suivants sont disponibles en cliquant </w:t>
      </w:r>
      <w:r w:rsidR="00EE05A7" w:rsidRPr="2EF873C3">
        <w:rPr>
          <w:sz w:val="22"/>
          <w:szCs w:val="22"/>
          <w:lang w:val="fr-CA"/>
        </w:rPr>
        <w:t>ici</w:t>
      </w:r>
      <w:r w:rsidR="001E3396" w:rsidRPr="2EF873C3">
        <w:rPr>
          <w:sz w:val="22"/>
          <w:szCs w:val="22"/>
          <w:lang w:val="fr-CA"/>
        </w:rPr>
        <w:t> :</w:t>
      </w:r>
      <w:r w:rsidR="009B1989" w:rsidRPr="2EF873C3">
        <w:rPr>
          <w:sz w:val="22"/>
          <w:szCs w:val="22"/>
          <w:lang w:val="fr-CA"/>
        </w:rPr>
        <w:t xml:space="preserve"> </w:t>
      </w:r>
      <w:r w:rsidR="6702C4F6" w:rsidRPr="2EF873C3">
        <w:rPr>
          <w:sz w:val="22"/>
          <w:szCs w:val="22"/>
          <w:highlight w:val="yellow"/>
          <w:lang w:val="fr-CA"/>
        </w:rPr>
        <w:t>[LIEN]</w:t>
      </w:r>
    </w:p>
    <w:p w14:paraId="78C85818" w14:textId="774D1563" w:rsidR="009B1989" w:rsidRPr="001E489E" w:rsidRDefault="003E13E8" w:rsidP="009B1989">
      <w:pPr>
        <w:pStyle w:val="ListParagraph"/>
        <w:numPr>
          <w:ilvl w:val="0"/>
          <w:numId w:val="10"/>
        </w:numPr>
        <w:spacing w:after="0" w:line="240" w:lineRule="auto"/>
        <w:rPr>
          <w:sz w:val="22"/>
          <w:szCs w:val="22"/>
          <w:lang w:val="fr-CA"/>
        </w:rPr>
      </w:pPr>
      <w:r w:rsidRPr="001E489E">
        <w:rPr>
          <w:sz w:val="22"/>
          <w:szCs w:val="22"/>
          <w:lang w:val="fr-CA"/>
        </w:rPr>
        <w:t>Bonnie Ferguson</w:t>
      </w:r>
      <w:r>
        <w:rPr>
          <w:sz w:val="22"/>
          <w:szCs w:val="22"/>
          <w:lang w:val="fr-CA"/>
        </w:rPr>
        <w:t xml:space="preserve">, </w:t>
      </w:r>
      <w:r w:rsidR="001E3396" w:rsidRPr="00927F78">
        <w:rPr>
          <w:sz w:val="22"/>
          <w:szCs w:val="22"/>
          <w:lang w:val="fr-CA"/>
        </w:rPr>
        <w:t xml:space="preserve">commissaire adjointe à </w:t>
      </w:r>
      <w:r w:rsidR="001E3396">
        <w:rPr>
          <w:sz w:val="22"/>
          <w:szCs w:val="22"/>
          <w:lang w:val="fr-CA"/>
        </w:rPr>
        <w:t>la G</w:t>
      </w:r>
      <w:r w:rsidR="001E3396" w:rsidRPr="00927F78">
        <w:rPr>
          <w:sz w:val="22"/>
          <w:szCs w:val="22"/>
          <w:lang w:val="fr-CA"/>
        </w:rPr>
        <w:t>RC</w:t>
      </w:r>
      <w:r w:rsidR="001E3396">
        <w:rPr>
          <w:sz w:val="22"/>
          <w:szCs w:val="22"/>
          <w:lang w:val="fr-CA"/>
        </w:rPr>
        <w:t xml:space="preserve"> et coprésidente de la RICCO</w:t>
      </w:r>
      <w:r>
        <w:rPr>
          <w:sz w:val="22"/>
          <w:szCs w:val="22"/>
          <w:lang w:val="fr-CA"/>
        </w:rPr>
        <w:t>,</w:t>
      </w:r>
      <w:r w:rsidR="001E3396" w:rsidRPr="00927F78">
        <w:rPr>
          <w:sz w:val="22"/>
          <w:szCs w:val="22"/>
          <w:lang w:val="fr-CA"/>
        </w:rPr>
        <w:t> </w:t>
      </w:r>
      <w:r w:rsidR="001E3396">
        <w:rPr>
          <w:sz w:val="22"/>
          <w:szCs w:val="22"/>
          <w:lang w:val="fr-CA"/>
        </w:rPr>
        <w:t xml:space="preserve">et </w:t>
      </w:r>
      <w:r w:rsidRPr="001E489E">
        <w:rPr>
          <w:sz w:val="22"/>
          <w:szCs w:val="22"/>
          <w:lang w:val="fr-CA"/>
        </w:rPr>
        <w:t>Benoît Dubé</w:t>
      </w:r>
      <w:r>
        <w:rPr>
          <w:sz w:val="22"/>
          <w:szCs w:val="22"/>
          <w:lang w:val="fr-CA"/>
        </w:rPr>
        <w:t>,</w:t>
      </w:r>
      <w:r w:rsidRPr="00164147">
        <w:rPr>
          <w:sz w:val="22"/>
          <w:szCs w:val="22"/>
          <w:lang w:val="fr-CA"/>
        </w:rPr>
        <w:t xml:space="preserve"> </w:t>
      </w:r>
      <w:r w:rsidR="001E3396" w:rsidRPr="00164147">
        <w:rPr>
          <w:sz w:val="22"/>
          <w:szCs w:val="22"/>
          <w:lang w:val="fr-CA"/>
        </w:rPr>
        <w:t>directeur général adjoint à la Sûreté du Québec et coprésident de la RICCO</w:t>
      </w:r>
      <w:r w:rsidR="001E3396" w:rsidRPr="001E489E">
        <w:rPr>
          <w:sz w:val="22"/>
          <w:szCs w:val="22"/>
          <w:lang w:val="fr-CA"/>
        </w:rPr>
        <w:t xml:space="preserve"> </w:t>
      </w:r>
    </w:p>
    <w:p w14:paraId="38E88D7A" w14:textId="31305639" w:rsidR="009B1989" w:rsidRPr="001E489E" w:rsidRDefault="003E13E8" w:rsidP="009B1989">
      <w:pPr>
        <w:pStyle w:val="ListParagraph"/>
        <w:numPr>
          <w:ilvl w:val="0"/>
          <w:numId w:val="10"/>
        </w:numPr>
        <w:spacing w:after="0" w:line="240" w:lineRule="auto"/>
        <w:rPr>
          <w:sz w:val="22"/>
          <w:szCs w:val="22"/>
          <w:lang w:val="fr-CA"/>
        </w:rPr>
      </w:pPr>
      <w:r>
        <w:rPr>
          <w:sz w:val="22"/>
          <w:szCs w:val="22"/>
          <w:lang w:val="fr-CA"/>
        </w:rPr>
        <w:t>Marty Kearns, sous-c</w:t>
      </w:r>
      <w:r w:rsidR="009B1989" w:rsidRPr="001E489E">
        <w:rPr>
          <w:sz w:val="22"/>
          <w:szCs w:val="22"/>
          <w:lang w:val="fr-CA"/>
        </w:rPr>
        <w:t>ommiss</w:t>
      </w:r>
      <w:r>
        <w:rPr>
          <w:sz w:val="22"/>
          <w:szCs w:val="22"/>
          <w:lang w:val="fr-CA"/>
        </w:rPr>
        <w:t>aire à la Police provinciale de l’Ontario (</w:t>
      </w:r>
      <w:r w:rsidR="009B1989" w:rsidRPr="001E489E">
        <w:rPr>
          <w:sz w:val="22"/>
          <w:szCs w:val="22"/>
          <w:lang w:val="fr-CA"/>
        </w:rPr>
        <w:t>OPP</w:t>
      </w:r>
      <w:r>
        <w:rPr>
          <w:sz w:val="22"/>
          <w:szCs w:val="22"/>
          <w:lang w:val="fr-CA"/>
        </w:rPr>
        <w:t>)</w:t>
      </w:r>
      <w:r w:rsidR="009B1989" w:rsidRPr="001E489E">
        <w:rPr>
          <w:sz w:val="22"/>
          <w:szCs w:val="22"/>
          <w:lang w:val="fr-CA"/>
        </w:rPr>
        <w:t xml:space="preserve"> </w:t>
      </w:r>
    </w:p>
    <w:p w14:paraId="4C88456E" w14:textId="31015AC8" w:rsidR="009B1989" w:rsidRPr="003E13E8" w:rsidRDefault="009B1989" w:rsidP="009B1989">
      <w:pPr>
        <w:pStyle w:val="ListParagraph"/>
        <w:numPr>
          <w:ilvl w:val="0"/>
          <w:numId w:val="10"/>
        </w:numPr>
        <w:spacing w:after="0" w:line="240" w:lineRule="auto"/>
        <w:rPr>
          <w:sz w:val="22"/>
          <w:szCs w:val="22"/>
          <w:lang w:val="fr-CA"/>
        </w:rPr>
      </w:pPr>
      <w:r w:rsidRPr="008D7050">
        <w:rPr>
          <w:sz w:val="22"/>
          <w:szCs w:val="22"/>
          <w:lang w:val="fr-CA"/>
        </w:rPr>
        <w:t>Su</w:t>
      </w:r>
      <w:r w:rsidR="003E13E8" w:rsidRPr="008D7050">
        <w:rPr>
          <w:sz w:val="22"/>
          <w:szCs w:val="22"/>
          <w:lang w:val="fr-CA"/>
        </w:rPr>
        <w:t>rin</w:t>
      </w:r>
      <w:r w:rsidRPr="008D7050">
        <w:rPr>
          <w:sz w:val="22"/>
          <w:szCs w:val="22"/>
          <w:lang w:val="fr-CA"/>
        </w:rPr>
        <w:t>t</w:t>
      </w:r>
      <w:r w:rsidR="003E13E8" w:rsidRPr="008D7050">
        <w:rPr>
          <w:sz w:val="22"/>
          <w:szCs w:val="22"/>
          <w:lang w:val="fr-CA"/>
        </w:rPr>
        <w:t>. pr.</w:t>
      </w:r>
      <w:r w:rsidRPr="008D7050">
        <w:rPr>
          <w:sz w:val="22"/>
          <w:szCs w:val="22"/>
          <w:lang w:val="fr-CA"/>
        </w:rPr>
        <w:t xml:space="preserve"> </w:t>
      </w:r>
      <w:r w:rsidRPr="003E13E8">
        <w:rPr>
          <w:sz w:val="22"/>
          <w:szCs w:val="22"/>
          <w:lang w:val="fr-CA"/>
        </w:rPr>
        <w:t xml:space="preserve">Mathieu Bertrand, </w:t>
      </w:r>
      <w:r w:rsidR="003E13E8" w:rsidRPr="003E13E8">
        <w:rPr>
          <w:sz w:val="22"/>
          <w:szCs w:val="22"/>
          <w:lang w:val="fr-CA"/>
        </w:rPr>
        <w:t>directeur g</w:t>
      </w:r>
      <w:r w:rsidR="003E13E8">
        <w:rPr>
          <w:sz w:val="22"/>
          <w:szCs w:val="22"/>
          <w:lang w:val="fr-CA"/>
        </w:rPr>
        <w:t>é</w:t>
      </w:r>
      <w:r w:rsidR="003E13E8" w:rsidRPr="003E13E8">
        <w:rPr>
          <w:sz w:val="22"/>
          <w:szCs w:val="22"/>
          <w:lang w:val="fr-CA"/>
        </w:rPr>
        <w:t>n</w:t>
      </w:r>
      <w:r w:rsidR="003E13E8">
        <w:rPr>
          <w:sz w:val="22"/>
          <w:szCs w:val="22"/>
          <w:lang w:val="fr-CA"/>
        </w:rPr>
        <w:t>é</w:t>
      </w:r>
      <w:r w:rsidR="003E13E8" w:rsidRPr="003E13E8">
        <w:rPr>
          <w:sz w:val="22"/>
          <w:szCs w:val="22"/>
          <w:lang w:val="fr-CA"/>
        </w:rPr>
        <w:t>ral, Crimes graves et Crime organisé, Opérations criminelles de la Police fédérale, G</w:t>
      </w:r>
      <w:r w:rsidRPr="003E13E8">
        <w:rPr>
          <w:sz w:val="22"/>
          <w:szCs w:val="22"/>
          <w:lang w:val="fr-CA"/>
        </w:rPr>
        <w:t xml:space="preserve">RC </w:t>
      </w:r>
    </w:p>
    <w:p w14:paraId="1B092652" w14:textId="7D03FA21" w:rsidR="009B1989" w:rsidRPr="001E489E" w:rsidRDefault="009B1989" w:rsidP="009B1989">
      <w:pPr>
        <w:pStyle w:val="ListParagraph"/>
        <w:numPr>
          <w:ilvl w:val="0"/>
          <w:numId w:val="10"/>
        </w:numPr>
        <w:spacing w:after="0" w:line="240" w:lineRule="auto"/>
        <w:rPr>
          <w:sz w:val="22"/>
          <w:szCs w:val="22"/>
          <w:lang w:val="fr-CA"/>
        </w:rPr>
      </w:pPr>
      <w:r w:rsidRPr="001E489E">
        <w:rPr>
          <w:sz w:val="22"/>
          <w:szCs w:val="22"/>
          <w:lang w:val="fr-CA"/>
        </w:rPr>
        <w:t xml:space="preserve">Ken </w:t>
      </w:r>
      <w:proofErr w:type="spellStart"/>
      <w:r w:rsidRPr="001E489E">
        <w:rPr>
          <w:sz w:val="22"/>
          <w:szCs w:val="22"/>
          <w:lang w:val="fr-CA"/>
        </w:rPr>
        <w:t>Lamontagne</w:t>
      </w:r>
      <w:proofErr w:type="spellEnd"/>
      <w:r w:rsidRPr="001E489E">
        <w:rPr>
          <w:sz w:val="22"/>
          <w:szCs w:val="22"/>
          <w:lang w:val="fr-CA"/>
        </w:rPr>
        <w:t>,</w:t>
      </w:r>
      <w:r w:rsidRPr="001E489E">
        <w:rPr>
          <w:lang w:val="fr-CA"/>
        </w:rPr>
        <w:t xml:space="preserve"> </w:t>
      </w:r>
      <w:r w:rsidR="003E13E8">
        <w:rPr>
          <w:lang w:val="fr-CA"/>
        </w:rPr>
        <w:t>directeur général, SCRC</w:t>
      </w:r>
    </w:p>
    <w:p w14:paraId="22DC6B13" w14:textId="516EA77A" w:rsidR="009B1989" w:rsidRPr="001E489E" w:rsidRDefault="009B1989" w:rsidP="009B1989">
      <w:pPr>
        <w:pStyle w:val="ListParagraph"/>
        <w:numPr>
          <w:ilvl w:val="0"/>
          <w:numId w:val="10"/>
        </w:numPr>
        <w:spacing w:after="0" w:line="240" w:lineRule="auto"/>
        <w:rPr>
          <w:sz w:val="22"/>
          <w:szCs w:val="22"/>
          <w:lang w:val="fr-CA"/>
        </w:rPr>
      </w:pPr>
      <w:r w:rsidRPr="001E489E">
        <w:rPr>
          <w:sz w:val="22"/>
          <w:szCs w:val="22"/>
          <w:lang w:val="fr-CA"/>
        </w:rPr>
        <w:t xml:space="preserve">Aaron </w:t>
      </w:r>
      <w:proofErr w:type="spellStart"/>
      <w:r w:rsidRPr="001E489E">
        <w:rPr>
          <w:sz w:val="22"/>
          <w:szCs w:val="22"/>
          <w:lang w:val="fr-CA"/>
        </w:rPr>
        <w:t>McCrorie</w:t>
      </w:r>
      <w:proofErr w:type="spellEnd"/>
      <w:r w:rsidRPr="001E489E">
        <w:rPr>
          <w:sz w:val="22"/>
          <w:szCs w:val="22"/>
          <w:lang w:val="fr-CA"/>
        </w:rPr>
        <w:t xml:space="preserve">, </w:t>
      </w:r>
      <w:r w:rsidR="003E13E8">
        <w:rPr>
          <w:sz w:val="22"/>
          <w:szCs w:val="22"/>
          <w:lang w:val="fr-CA"/>
        </w:rPr>
        <w:t>v</w:t>
      </w:r>
      <w:r w:rsidRPr="001E489E">
        <w:rPr>
          <w:sz w:val="22"/>
          <w:szCs w:val="22"/>
          <w:lang w:val="fr-CA"/>
        </w:rPr>
        <w:t>ice</w:t>
      </w:r>
      <w:r w:rsidR="003E13E8">
        <w:rPr>
          <w:sz w:val="22"/>
          <w:szCs w:val="22"/>
          <w:lang w:val="fr-CA"/>
        </w:rPr>
        <w:t>-pré</w:t>
      </w:r>
      <w:r w:rsidRPr="001E489E">
        <w:rPr>
          <w:sz w:val="22"/>
          <w:szCs w:val="22"/>
          <w:lang w:val="fr-CA"/>
        </w:rPr>
        <w:t xml:space="preserve">sident, </w:t>
      </w:r>
      <w:hyperlink r:id="rId8" w:history="1">
        <w:r w:rsidR="003E13E8" w:rsidRPr="00277833">
          <w:rPr>
            <w:sz w:val="22"/>
            <w:szCs w:val="22"/>
            <w:lang w:val="fr-CA"/>
          </w:rPr>
          <w:t>Direction générale du renseignement et de l'exécution de la loi</w:t>
        </w:r>
      </w:hyperlink>
      <w:r w:rsidR="003E13E8" w:rsidRPr="00277833">
        <w:rPr>
          <w:sz w:val="22"/>
          <w:szCs w:val="22"/>
          <w:lang w:val="fr-CA"/>
        </w:rPr>
        <w:t>,</w:t>
      </w:r>
      <w:r w:rsidR="003E13E8">
        <w:rPr>
          <w:sz w:val="22"/>
          <w:szCs w:val="22"/>
          <w:lang w:val="fr-CA"/>
        </w:rPr>
        <w:t xml:space="preserve"> ASFC</w:t>
      </w:r>
    </w:p>
    <w:p w14:paraId="7D0470C5" w14:textId="39DC22E3" w:rsidR="009B1989" w:rsidRPr="00370FFA" w:rsidRDefault="00370FFA" w:rsidP="00370FFA">
      <w:pPr>
        <w:pStyle w:val="ListParagraph"/>
        <w:numPr>
          <w:ilvl w:val="0"/>
          <w:numId w:val="10"/>
        </w:numPr>
        <w:spacing w:after="0" w:line="240" w:lineRule="auto"/>
        <w:rPr>
          <w:sz w:val="22"/>
          <w:szCs w:val="22"/>
          <w:lang w:val="fr-CA"/>
        </w:rPr>
      </w:pPr>
      <w:r w:rsidRPr="00370FFA">
        <w:rPr>
          <w:sz w:val="22"/>
          <w:szCs w:val="22"/>
          <w:lang w:val="fr-CA"/>
        </w:rPr>
        <w:t xml:space="preserve">Stéphane </w:t>
      </w:r>
      <w:proofErr w:type="spellStart"/>
      <w:r w:rsidRPr="00370FFA">
        <w:rPr>
          <w:sz w:val="22"/>
          <w:szCs w:val="22"/>
          <w:lang w:val="fr-CA"/>
        </w:rPr>
        <w:t>Sirard</w:t>
      </w:r>
      <w:proofErr w:type="spellEnd"/>
      <w:r w:rsidRPr="00370FFA">
        <w:rPr>
          <w:sz w:val="22"/>
          <w:szCs w:val="22"/>
          <w:lang w:val="fr-CA"/>
        </w:rPr>
        <w:t>, sous-directeur du Renseignement</w:t>
      </w:r>
      <w:r>
        <w:rPr>
          <w:sz w:val="22"/>
          <w:szCs w:val="22"/>
          <w:lang w:val="fr-CA"/>
        </w:rPr>
        <w:t>, CANAFE</w:t>
      </w:r>
      <w:r w:rsidR="009B1989" w:rsidRPr="00370FFA">
        <w:rPr>
          <w:sz w:val="22"/>
          <w:szCs w:val="22"/>
          <w:lang w:val="fr-CA"/>
        </w:rPr>
        <w:t xml:space="preserve"> </w:t>
      </w:r>
    </w:p>
    <w:p w14:paraId="442BCDC1" w14:textId="77777777" w:rsidR="00EE0E11" w:rsidRPr="001E489E" w:rsidRDefault="00EE0E11" w:rsidP="00EE0E11">
      <w:pPr>
        <w:rPr>
          <w:sz w:val="22"/>
          <w:szCs w:val="22"/>
          <w:lang w:val="fr-CA"/>
        </w:rPr>
      </w:pPr>
    </w:p>
    <w:p w14:paraId="3C67113B" w14:textId="2971E2BF" w:rsidR="17C33AED" w:rsidRDefault="17C33AED" w:rsidP="2EF873C3">
      <w:pPr>
        <w:rPr>
          <w:rFonts w:ascii="Calibri" w:eastAsia="Calibri" w:hAnsi="Calibri" w:cs="Calibri"/>
          <w:color w:val="000000" w:themeColor="text1"/>
          <w:sz w:val="22"/>
          <w:szCs w:val="22"/>
          <w:lang w:val="fr-CA"/>
        </w:rPr>
      </w:pPr>
      <w:r w:rsidRPr="2EF873C3">
        <w:rPr>
          <w:rFonts w:ascii="Calibri" w:eastAsia="Calibri" w:hAnsi="Calibri" w:cs="Calibri"/>
          <w:b/>
          <w:bCs/>
          <w:color w:val="000000" w:themeColor="text1"/>
          <w:sz w:val="22"/>
          <w:szCs w:val="22"/>
          <w:lang w:val="fr-CA"/>
        </w:rPr>
        <w:lastRenderedPageBreak/>
        <w:t>Pour plus de renseignements (médias seulement) :</w:t>
      </w:r>
    </w:p>
    <w:p w14:paraId="63BE9C45" w14:textId="48EB3F08" w:rsidR="2EF873C3" w:rsidRDefault="2EF873C3" w:rsidP="2EF873C3">
      <w:pPr>
        <w:rPr>
          <w:rFonts w:ascii="Calibri" w:eastAsia="Calibri" w:hAnsi="Calibri" w:cs="Calibri"/>
          <w:color w:val="000000" w:themeColor="text1"/>
          <w:sz w:val="22"/>
          <w:szCs w:val="22"/>
          <w:lang w:val="fr-CA"/>
        </w:rPr>
      </w:pPr>
    </w:p>
    <w:p w14:paraId="4A8AB6EE" w14:textId="375B7398" w:rsidR="17C33AED" w:rsidRDefault="17C33AED" w:rsidP="2EF873C3">
      <w:pPr>
        <w:rPr>
          <w:rFonts w:ascii="Calibri" w:eastAsia="Calibri" w:hAnsi="Calibri" w:cs="Calibri"/>
          <w:color w:val="000000" w:themeColor="text1"/>
          <w:sz w:val="22"/>
          <w:szCs w:val="22"/>
          <w:lang w:val="fr-CA"/>
        </w:rPr>
      </w:pPr>
      <w:r w:rsidRPr="2EF873C3">
        <w:rPr>
          <w:rFonts w:ascii="Calibri" w:eastAsia="Calibri" w:hAnsi="Calibri" w:cs="Calibri"/>
          <w:b/>
          <w:bCs/>
          <w:color w:val="000000" w:themeColor="text1"/>
          <w:sz w:val="22"/>
          <w:szCs w:val="22"/>
          <w:lang w:val="fr-CA"/>
        </w:rPr>
        <w:t>Relations avec les médias de la GRC</w:t>
      </w:r>
      <w:r w:rsidRPr="008D7050">
        <w:rPr>
          <w:lang w:val="fr-CA"/>
        </w:rPr>
        <w:br/>
      </w:r>
      <w:hyperlink r:id="rId9">
        <w:r w:rsidRPr="2EF873C3">
          <w:rPr>
            <w:rStyle w:val="Hyperlink"/>
            <w:rFonts w:ascii="Calibri" w:eastAsia="Calibri" w:hAnsi="Calibri" w:cs="Calibri"/>
            <w:sz w:val="22"/>
            <w:szCs w:val="22"/>
            <w:lang w:val="fr-CA"/>
          </w:rPr>
          <w:t>rcmp.hqmediarelations-dgrelationsmedias.grc@rcmp-grc.gc.ca</w:t>
        </w:r>
        <w:r w:rsidRPr="008D7050">
          <w:rPr>
            <w:lang w:val="fr-CA"/>
          </w:rPr>
          <w:br/>
        </w:r>
      </w:hyperlink>
      <w:r w:rsidRPr="2EF873C3">
        <w:rPr>
          <w:rFonts w:ascii="Calibri" w:eastAsia="Calibri" w:hAnsi="Calibri" w:cs="Calibri"/>
          <w:color w:val="000000" w:themeColor="text1"/>
          <w:sz w:val="22"/>
          <w:szCs w:val="22"/>
          <w:lang w:val="fr-CA"/>
        </w:rPr>
        <w:t>613-843-5999</w:t>
      </w:r>
    </w:p>
    <w:p w14:paraId="134BA9E5" w14:textId="03A896C4" w:rsidR="2EF873C3" w:rsidRDefault="2EF873C3" w:rsidP="2EF873C3">
      <w:pPr>
        <w:rPr>
          <w:sz w:val="22"/>
          <w:szCs w:val="22"/>
          <w:lang w:val="fr-CA"/>
        </w:rPr>
      </w:pPr>
    </w:p>
    <w:sectPr w:rsidR="2EF873C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7F3B2" w14:textId="77777777" w:rsidR="007904C7" w:rsidRDefault="007904C7" w:rsidP="001922AB">
      <w:pPr>
        <w:spacing w:after="0" w:line="240" w:lineRule="auto"/>
      </w:pPr>
      <w:r>
        <w:separator/>
      </w:r>
    </w:p>
  </w:endnote>
  <w:endnote w:type="continuationSeparator" w:id="0">
    <w:p w14:paraId="079C6DA7" w14:textId="77777777" w:rsidR="007904C7" w:rsidRDefault="007904C7" w:rsidP="00192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0CDE" w14:textId="77777777" w:rsidR="007904C7" w:rsidRDefault="007904C7" w:rsidP="001922AB">
      <w:pPr>
        <w:spacing w:after="0" w:line="240" w:lineRule="auto"/>
      </w:pPr>
      <w:r>
        <w:separator/>
      </w:r>
    </w:p>
  </w:footnote>
  <w:footnote w:type="continuationSeparator" w:id="0">
    <w:p w14:paraId="562E14E1" w14:textId="77777777" w:rsidR="007904C7" w:rsidRDefault="007904C7" w:rsidP="001922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80315"/>
    <w:multiLevelType w:val="multilevel"/>
    <w:tmpl w:val="FCA0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AD3F74"/>
    <w:multiLevelType w:val="multilevel"/>
    <w:tmpl w:val="1668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126741"/>
    <w:multiLevelType w:val="multilevel"/>
    <w:tmpl w:val="F0768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DD32E54"/>
    <w:multiLevelType w:val="hybridMultilevel"/>
    <w:tmpl w:val="508EA5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F201185"/>
    <w:multiLevelType w:val="hybridMultilevel"/>
    <w:tmpl w:val="82F0C8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420A42B7"/>
    <w:multiLevelType w:val="multilevel"/>
    <w:tmpl w:val="6EE6E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2779B3"/>
    <w:multiLevelType w:val="multilevel"/>
    <w:tmpl w:val="21E2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14D5ABB"/>
    <w:multiLevelType w:val="hybridMultilevel"/>
    <w:tmpl w:val="272C0B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71F22DAC"/>
    <w:multiLevelType w:val="hybridMultilevel"/>
    <w:tmpl w:val="4D0A109C"/>
    <w:lvl w:ilvl="0" w:tplc="10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33502A6"/>
    <w:multiLevelType w:val="multilevel"/>
    <w:tmpl w:val="74EE6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6D80264"/>
    <w:multiLevelType w:val="multilevel"/>
    <w:tmpl w:val="B2D8B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0079427">
    <w:abstractNumId w:val="3"/>
  </w:num>
  <w:num w:numId="2" w16cid:durableId="1862091177">
    <w:abstractNumId w:val="6"/>
  </w:num>
  <w:num w:numId="3" w16cid:durableId="1413744462">
    <w:abstractNumId w:val="1"/>
  </w:num>
  <w:num w:numId="4" w16cid:durableId="707023626">
    <w:abstractNumId w:val="5"/>
  </w:num>
  <w:num w:numId="5" w16cid:durableId="792287066">
    <w:abstractNumId w:val="2"/>
  </w:num>
  <w:num w:numId="6" w16cid:durableId="1001081440">
    <w:abstractNumId w:val="0"/>
  </w:num>
  <w:num w:numId="7" w16cid:durableId="1478374693">
    <w:abstractNumId w:val="10"/>
  </w:num>
  <w:num w:numId="8" w16cid:durableId="994380020">
    <w:abstractNumId w:val="9"/>
  </w:num>
  <w:num w:numId="9" w16cid:durableId="846872973">
    <w:abstractNumId w:val="7"/>
  </w:num>
  <w:num w:numId="10" w16cid:durableId="1855218298">
    <w:abstractNumId w:val="8"/>
  </w:num>
  <w:num w:numId="11" w16cid:durableId="2078552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NotDisplayPageBoundarie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E11"/>
    <w:rsid w:val="000030DE"/>
    <w:rsid w:val="000A1EC6"/>
    <w:rsid w:val="000B0CC5"/>
    <w:rsid w:val="000C7DE1"/>
    <w:rsid w:val="000D6A42"/>
    <w:rsid w:val="00164147"/>
    <w:rsid w:val="001922AB"/>
    <w:rsid w:val="001E3396"/>
    <w:rsid w:val="001E489E"/>
    <w:rsid w:val="00244E11"/>
    <w:rsid w:val="002710B1"/>
    <w:rsid w:val="0027275B"/>
    <w:rsid w:val="0029211F"/>
    <w:rsid w:val="002B03E9"/>
    <w:rsid w:val="002F116E"/>
    <w:rsid w:val="00317557"/>
    <w:rsid w:val="0032129D"/>
    <w:rsid w:val="0033511E"/>
    <w:rsid w:val="00370FFA"/>
    <w:rsid w:val="003D6052"/>
    <w:rsid w:val="003E13E8"/>
    <w:rsid w:val="00472C44"/>
    <w:rsid w:val="004A3AA0"/>
    <w:rsid w:val="004F6AD0"/>
    <w:rsid w:val="00537B20"/>
    <w:rsid w:val="00596A92"/>
    <w:rsid w:val="005D2C16"/>
    <w:rsid w:val="0062089D"/>
    <w:rsid w:val="00646690"/>
    <w:rsid w:val="006F5BFB"/>
    <w:rsid w:val="0072159F"/>
    <w:rsid w:val="007904C7"/>
    <w:rsid w:val="007E60A1"/>
    <w:rsid w:val="008D7050"/>
    <w:rsid w:val="00927F78"/>
    <w:rsid w:val="009B1989"/>
    <w:rsid w:val="009E11D9"/>
    <w:rsid w:val="009E325B"/>
    <w:rsid w:val="00A577B7"/>
    <w:rsid w:val="00A74185"/>
    <w:rsid w:val="00AF0B18"/>
    <w:rsid w:val="00B1082C"/>
    <w:rsid w:val="00B17C2D"/>
    <w:rsid w:val="00B3628B"/>
    <w:rsid w:val="00B45DB1"/>
    <w:rsid w:val="00C52E17"/>
    <w:rsid w:val="00CC3BB5"/>
    <w:rsid w:val="00D00DB0"/>
    <w:rsid w:val="00D776FE"/>
    <w:rsid w:val="00DF5816"/>
    <w:rsid w:val="00E022B5"/>
    <w:rsid w:val="00E12F65"/>
    <w:rsid w:val="00EA12A5"/>
    <w:rsid w:val="00EE05A7"/>
    <w:rsid w:val="00EE0E11"/>
    <w:rsid w:val="00F12A3B"/>
    <w:rsid w:val="00FA4176"/>
    <w:rsid w:val="00FA7BEC"/>
    <w:rsid w:val="00FE23A7"/>
    <w:rsid w:val="15088750"/>
    <w:rsid w:val="16AE53AC"/>
    <w:rsid w:val="17C33AED"/>
    <w:rsid w:val="1A2500A3"/>
    <w:rsid w:val="1FD1ABF9"/>
    <w:rsid w:val="2778B055"/>
    <w:rsid w:val="28C5C5F6"/>
    <w:rsid w:val="2EF873C3"/>
    <w:rsid w:val="30753A5A"/>
    <w:rsid w:val="318AC9E9"/>
    <w:rsid w:val="31DEFAC9"/>
    <w:rsid w:val="3423708B"/>
    <w:rsid w:val="4E7332D9"/>
    <w:rsid w:val="515B57CE"/>
    <w:rsid w:val="5D34C070"/>
    <w:rsid w:val="6702C4F6"/>
    <w:rsid w:val="67C1E878"/>
    <w:rsid w:val="77CEDE26"/>
    <w:rsid w:val="7A3F7B49"/>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8E9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989"/>
    <w:pPr>
      <w:spacing w:line="278" w:lineRule="auto"/>
    </w:pPr>
    <w:rPr>
      <w:kern w:val="2"/>
      <w:sz w:val="24"/>
      <w:szCs w:val="24"/>
      <w14:ligatures w14:val="standardContextual"/>
    </w:rPr>
  </w:style>
  <w:style w:type="paragraph" w:styleId="Heading1">
    <w:name w:val="heading 1"/>
    <w:basedOn w:val="Normal"/>
    <w:next w:val="Normal"/>
    <w:link w:val="Heading1Char"/>
    <w:uiPriority w:val="9"/>
    <w:qFormat/>
    <w:rsid w:val="00EE0E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0E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0E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0E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0E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0E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0E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0E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0E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E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0E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0E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0E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0E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0E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0E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0E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0E11"/>
    <w:rPr>
      <w:rFonts w:eastAsiaTheme="majorEastAsia" w:cstheme="majorBidi"/>
      <w:color w:val="272727" w:themeColor="text1" w:themeTint="D8"/>
    </w:rPr>
  </w:style>
  <w:style w:type="paragraph" w:styleId="Title">
    <w:name w:val="Title"/>
    <w:basedOn w:val="Normal"/>
    <w:next w:val="Normal"/>
    <w:link w:val="TitleChar"/>
    <w:uiPriority w:val="10"/>
    <w:qFormat/>
    <w:rsid w:val="00EE0E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0E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0E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0E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0E11"/>
    <w:pPr>
      <w:spacing w:before="160"/>
      <w:jc w:val="center"/>
    </w:pPr>
    <w:rPr>
      <w:i/>
      <w:iCs/>
      <w:color w:val="404040" w:themeColor="text1" w:themeTint="BF"/>
    </w:rPr>
  </w:style>
  <w:style w:type="character" w:customStyle="1" w:styleId="QuoteChar">
    <w:name w:val="Quote Char"/>
    <w:basedOn w:val="DefaultParagraphFont"/>
    <w:link w:val="Quote"/>
    <w:uiPriority w:val="29"/>
    <w:rsid w:val="00EE0E11"/>
    <w:rPr>
      <w:i/>
      <w:iCs/>
      <w:color w:val="404040" w:themeColor="text1" w:themeTint="BF"/>
    </w:rPr>
  </w:style>
  <w:style w:type="paragraph" w:styleId="ListParagraph">
    <w:name w:val="List Paragraph"/>
    <w:basedOn w:val="Normal"/>
    <w:uiPriority w:val="34"/>
    <w:qFormat/>
    <w:rsid w:val="00EE0E11"/>
    <w:pPr>
      <w:ind w:left="720"/>
      <w:contextualSpacing/>
    </w:pPr>
  </w:style>
  <w:style w:type="character" w:styleId="IntenseEmphasis">
    <w:name w:val="Intense Emphasis"/>
    <w:basedOn w:val="DefaultParagraphFont"/>
    <w:uiPriority w:val="21"/>
    <w:qFormat/>
    <w:rsid w:val="00EE0E11"/>
    <w:rPr>
      <w:i/>
      <w:iCs/>
      <w:color w:val="0F4761" w:themeColor="accent1" w:themeShade="BF"/>
    </w:rPr>
  </w:style>
  <w:style w:type="paragraph" w:styleId="IntenseQuote">
    <w:name w:val="Intense Quote"/>
    <w:basedOn w:val="Normal"/>
    <w:next w:val="Normal"/>
    <w:link w:val="IntenseQuoteChar"/>
    <w:uiPriority w:val="30"/>
    <w:qFormat/>
    <w:rsid w:val="00EE0E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0E11"/>
    <w:rPr>
      <w:i/>
      <w:iCs/>
      <w:color w:val="0F4761" w:themeColor="accent1" w:themeShade="BF"/>
    </w:rPr>
  </w:style>
  <w:style w:type="character" w:styleId="IntenseReference">
    <w:name w:val="Intense Reference"/>
    <w:basedOn w:val="DefaultParagraphFont"/>
    <w:uiPriority w:val="32"/>
    <w:qFormat/>
    <w:rsid w:val="00EE0E11"/>
    <w:rPr>
      <w:b/>
      <w:bCs/>
      <w:smallCaps/>
      <w:color w:val="0F4761" w:themeColor="accent1" w:themeShade="BF"/>
      <w:spacing w:val="5"/>
    </w:rPr>
  </w:style>
  <w:style w:type="character" w:styleId="Hyperlink">
    <w:name w:val="Hyperlink"/>
    <w:basedOn w:val="DefaultParagraphFont"/>
    <w:uiPriority w:val="99"/>
    <w:unhideWhenUsed/>
    <w:rsid w:val="00EE0E11"/>
    <w:rPr>
      <w:color w:val="467886" w:themeColor="hyperlink"/>
      <w:u w:val="single"/>
    </w:rPr>
  </w:style>
  <w:style w:type="character" w:styleId="UnresolvedMention">
    <w:name w:val="Unresolved Mention"/>
    <w:basedOn w:val="DefaultParagraphFont"/>
    <w:uiPriority w:val="99"/>
    <w:semiHidden/>
    <w:unhideWhenUsed/>
    <w:rsid w:val="00EE0E11"/>
    <w:rPr>
      <w:color w:val="605E5C"/>
      <w:shd w:val="clear" w:color="auto" w:fill="E1DFDD"/>
    </w:rPr>
  </w:style>
  <w:style w:type="character" w:styleId="CommentReference">
    <w:name w:val="annotation reference"/>
    <w:basedOn w:val="DefaultParagraphFont"/>
    <w:uiPriority w:val="99"/>
    <w:semiHidden/>
    <w:unhideWhenUsed/>
    <w:rsid w:val="009B1989"/>
    <w:rPr>
      <w:sz w:val="16"/>
      <w:szCs w:val="16"/>
    </w:rPr>
  </w:style>
  <w:style w:type="paragraph" w:styleId="CommentText">
    <w:name w:val="annotation text"/>
    <w:basedOn w:val="Normal"/>
    <w:link w:val="CommentTextChar"/>
    <w:uiPriority w:val="99"/>
    <w:unhideWhenUsed/>
    <w:rsid w:val="009B1989"/>
    <w:pPr>
      <w:spacing w:line="240" w:lineRule="auto"/>
    </w:pPr>
    <w:rPr>
      <w:sz w:val="20"/>
      <w:szCs w:val="20"/>
    </w:rPr>
  </w:style>
  <w:style w:type="character" w:customStyle="1" w:styleId="CommentTextChar">
    <w:name w:val="Comment Text Char"/>
    <w:basedOn w:val="DefaultParagraphFont"/>
    <w:link w:val="CommentText"/>
    <w:uiPriority w:val="99"/>
    <w:rsid w:val="009B1989"/>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9B1989"/>
    <w:rPr>
      <w:b/>
      <w:bCs/>
    </w:rPr>
  </w:style>
  <w:style w:type="character" w:customStyle="1" w:styleId="CommentSubjectChar">
    <w:name w:val="Comment Subject Char"/>
    <w:basedOn w:val="CommentTextChar"/>
    <w:link w:val="CommentSubject"/>
    <w:uiPriority w:val="99"/>
    <w:semiHidden/>
    <w:rsid w:val="009B1989"/>
    <w:rPr>
      <w:b/>
      <w:bCs/>
      <w:kern w:val="2"/>
      <w:sz w:val="20"/>
      <w:szCs w:val="20"/>
      <w14:ligatures w14:val="standardContextual"/>
    </w:rPr>
  </w:style>
  <w:style w:type="paragraph" w:styleId="Revision">
    <w:name w:val="Revision"/>
    <w:hidden/>
    <w:uiPriority w:val="99"/>
    <w:semiHidden/>
    <w:rsid w:val="00FA4176"/>
    <w:pPr>
      <w:spacing w:after="0" w:line="240" w:lineRule="auto"/>
    </w:pPr>
    <w:rPr>
      <w:kern w:val="2"/>
      <w:sz w:val="24"/>
      <w:szCs w:val="24"/>
      <w14:ligatures w14:val="standardContextual"/>
    </w:rPr>
  </w:style>
  <w:style w:type="paragraph" w:styleId="Header">
    <w:name w:val="header"/>
    <w:basedOn w:val="Normal"/>
    <w:link w:val="HeaderChar"/>
    <w:uiPriority w:val="99"/>
    <w:unhideWhenUsed/>
    <w:rsid w:val="001922AB"/>
    <w:pPr>
      <w:tabs>
        <w:tab w:val="center" w:pos="4320"/>
        <w:tab w:val="right" w:pos="8640"/>
      </w:tabs>
      <w:spacing w:after="0" w:line="240" w:lineRule="auto"/>
    </w:pPr>
  </w:style>
  <w:style w:type="character" w:customStyle="1" w:styleId="HeaderChar">
    <w:name w:val="Header Char"/>
    <w:basedOn w:val="DefaultParagraphFont"/>
    <w:link w:val="Header"/>
    <w:uiPriority w:val="99"/>
    <w:rsid w:val="001922AB"/>
    <w:rPr>
      <w:kern w:val="2"/>
      <w:sz w:val="24"/>
      <w:szCs w:val="24"/>
      <w14:ligatures w14:val="standardContextual"/>
    </w:rPr>
  </w:style>
  <w:style w:type="paragraph" w:styleId="Footer">
    <w:name w:val="footer"/>
    <w:basedOn w:val="Normal"/>
    <w:link w:val="FooterChar"/>
    <w:uiPriority w:val="99"/>
    <w:unhideWhenUsed/>
    <w:rsid w:val="006F5B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BFB"/>
    <w:rPr>
      <w:kern w:val="2"/>
      <w:sz w:val="24"/>
      <w:szCs w:val="24"/>
      <w14:ligatures w14:val="standardContextual"/>
    </w:rPr>
  </w:style>
  <w:style w:type="character" w:styleId="FollowedHyperlink">
    <w:name w:val="FollowedHyperlink"/>
    <w:basedOn w:val="DefaultParagraphFont"/>
    <w:uiPriority w:val="99"/>
    <w:semiHidden/>
    <w:unhideWhenUsed/>
    <w:rsid w:val="00AF0B1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ds-sage.gc.ca/fr/SAGE?pgid=017&amp;dn=T1U9T1AtRE8sT1U9SFEtQUMsT1U9Q0JTQS1BU0ZDLE89R0MsQz1DQQ=="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grc.ca/fr/nouvelles/2025/02/operation-nationale-ciblant-fentanyl-mene-dimportantes-saisies"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cmp.hqmediarelations-dgrelationsmedias.grc@rcmp-grc.gc.ca"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2DF433A0426147A57D6624C642CDF4" ma:contentTypeVersion="11" ma:contentTypeDescription="Create a new document." ma:contentTypeScope="" ma:versionID="4a8157dffc2155da97cb505a719f8f41">
  <xsd:schema xmlns:xsd="http://www.w3.org/2001/XMLSchema" xmlns:xs="http://www.w3.org/2001/XMLSchema" xmlns:p="http://schemas.microsoft.com/office/2006/metadata/properties" xmlns:ns2="3865d4b6-9739-4603-9df4-1ef0c6950a35" xmlns:ns3="84f1a7cb-04d2-441a-854c-a18f7e55992d" targetNamespace="http://schemas.microsoft.com/office/2006/metadata/properties" ma:root="true" ma:fieldsID="25f749256796db05ccb07de0a9ed459c" ns2:_="" ns3:_="">
    <xsd:import namespace="3865d4b6-9739-4603-9df4-1ef0c6950a35"/>
    <xsd:import namespace="84f1a7cb-04d2-441a-854c-a18f7e5599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65d4b6-9739-4603-9df4-1ef0c6950a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c186527-247b-4554-b430-e86b61ad49a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f1a7cb-04d2-441a-854c-a18f7e55992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8a3faf-6970-4de5-b3cb-3ca027e84af1}" ma:internalName="TaxCatchAll" ma:showField="CatchAllData" ma:web="84f1a7cb-04d2-441a-854c-a18f7e5599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65d4b6-9739-4603-9df4-1ef0c6950a35">
      <Terms xmlns="http://schemas.microsoft.com/office/infopath/2007/PartnerControls"/>
    </lcf76f155ced4ddcb4097134ff3c332f>
    <TaxCatchAll xmlns="84f1a7cb-04d2-441a-854c-a18f7e55992d" xsi:nil="true"/>
  </documentManagement>
</p:properties>
</file>

<file path=customXml/itemProps1.xml><?xml version="1.0" encoding="utf-8"?>
<ds:datastoreItem xmlns:ds="http://schemas.openxmlformats.org/officeDocument/2006/customXml" ds:itemID="{0D341C9C-D14E-404D-851A-1B343E368765}"/>
</file>

<file path=customXml/itemProps2.xml><?xml version="1.0" encoding="utf-8"?>
<ds:datastoreItem xmlns:ds="http://schemas.openxmlformats.org/officeDocument/2006/customXml" ds:itemID="{5CA7B5B7-42FC-4250-98D0-D386C6FD3415}"/>
</file>

<file path=customXml/itemProps3.xml><?xml version="1.0" encoding="utf-8"?>
<ds:datastoreItem xmlns:ds="http://schemas.openxmlformats.org/officeDocument/2006/customXml" ds:itemID="{4253A8C2-C4AC-4727-ACFB-C9D8F0BF32BE}"/>
</file>

<file path=docProps/app.xml><?xml version="1.0" encoding="utf-8"?>
<Properties xmlns="http://schemas.openxmlformats.org/officeDocument/2006/extended-properties" xmlns:vt="http://schemas.openxmlformats.org/officeDocument/2006/docPropsVTypes">
  <Template>Normal.dotm</Template>
  <TotalTime>0</TotalTime>
  <Pages>3</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2025-12-01T17:49:00Z</dcterms:created>
  <dcterms:modified xsi:type="dcterms:W3CDTF">2025-12-01T17:49:00Z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a7f32d-f4c1-4d09-9e83-eb989c840e36_Enabled">
    <vt:lpwstr>true</vt:lpwstr>
  </property>
  <property fmtid="{D5CDD505-2E9C-101B-9397-08002B2CF9AE}" pid="3" name="MSIP_Label_17a7f32d-f4c1-4d09-9e83-eb989c840e36_SetDate">
    <vt:lpwstr>2025-12-01T17:49:15Z</vt:lpwstr>
  </property>
  <property fmtid="{D5CDD505-2E9C-101B-9397-08002B2CF9AE}" pid="4" name="MSIP_Label_17a7f32d-f4c1-4d09-9e83-eb989c840e36_Method">
    <vt:lpwstr>Standard</vt:lpwstr>
  </property>
  <property fmtid="{D5CDD505-2E9C-101B-9397-08002B2CF9AE}" pid="5" name="MSIP_Label_17a7f32d-f4c1-4d09-9e83-eb989c840e36_Name">
    <vt:lpwstr>PROTECTED A - Protégé A</vt:lpwstr>
  </property>
  <property fmtid="{D5CDD505-2E9C-101B-9397-08002B2CF9AE}" pid="6" name="MSIP_Label_17a7f32d-f4c1-4d09-9e83-eb989c840e36_SiteId">
    <vt:lpwstr>2ebaed2f-af63-45af-a67b-ec24f2eeb7ef</vt:lpwstr>
  </property>
  <property fmtid="{D5CDD505-2E9C-101B-9397-08002B2CF9AE}" pid="7" name="MSIP_Label_17a7f32d-f4c1-4d09-9e83-eb989c840e36_ActionId">
    <vt:lpwstr>0a33f266-1088-4137-8ae3-57e49bb6b5f4</vt:lpwstr>
  </property>
  <property fmtid="{D5CDD505-2E9C-101B-9397-08002B2CF9AE}" pid="8" name="MSIP_Label_17a7f32d-f4c1-4d09-9e83-eb989c840e36_ContentBits">
    <vt:lpwstr>0</vt:lpwstr>
  </property>
  <property fmtid="{D5CDD505-2E9C-101B-9397-08002B2CF9AE}" pid="9" name="MSIP_Label_17a7f32d-f4c1-4d09-9e83-eb989c840e36_Tag">
    <vt:lpwstr>10, 3, 0, 1</vt:lpwstr>
  </property>
  <property fmtid="{D5CDD505-2E9C-101B-9397-08002B2CF9AE}" pid="10" name="ClassificationContentMarkingHeaderText">
    <vt:lpwstr>Confidentialité : 2 (Confidentiel)</vt:lpwstr>
  </property>
  <property fmtid="{D5CDD505-2E9C-101B-9397-08002B2CF9AE}" pid="11" name="MediaServiceImageTags">
    <vt:lpwstr/>
  </property>
  <property fmtid="{D5CDD505-2E9C-101B-9397-08002B2CF9AE}" pid="12" name="ContentTypeId">
    <vt:lpwstr>0x010100352DF433A0426147A57D6624C642CDF4</vt:lpwstr>
  </property>
  <property fmtid="{D5CDD505-2E9C-101B-9397-08002B2CF9AE}" pid="13" name="ClassificationWatermarkText">
    <vt:lpwstr>CONFIDENTIEL</vt:lpwstr>
  </property>
  <property fmtid="{D5CDD505-2E9C-101B-9397-08002B2CF9AE}" pid="14" name="ClassificationContentMarkingHeaderFontProps">
    <vt:lpwstr>#ff0000,10,Aptos</vt:lpwstr>
  </property>
  <property fmtid="{D5CDD505-2E9C-101B-9397-08002B2CF9AE}" pid="15" name="MSIP_Label_545edad9-bcb2-4c3f-af4c-c3e6cbd576f3_Enabled">
    <vt:lpwstr>true</vt:lpwstr>
  </property>
  <property fmtid="{D5CDD505-2E9C-101B-9397-08002B2CF9AE}" pid="16" name="MSIP_Label_545edad9-bcb2-4c3f-af4c-c3e6cbd576f3_ContentBits">
    <vt:lpwstr>5</vt:lpwstr>
  </property>
  <property fmtid="{D5CDD505-2E9C-101B-9397-08002B2CF9AE}" pid="17" name="MSIP_Label_545edad9-bcb2-4c3f-af4c-c3e6cbd576f3_SetDate">
    <vt:lpwstr>2025-11-25T14:42:34Z</vt:lpwstr>
  </property>
  <property fmtid="{D5CDD505-2E9C-101B-9397-08002B2CF9AE}" pid="18" name="ClassificationWatermarkFontProps">
    <vt:lpwstr>#ff0000,50,Aptos</vt:lpwstr>
  </property>
  <property fmtid="{D5CDD505-2E9C-101B-9397-08002B2CF9AE}" pid="19" name="MSIP_Label_545edad9-bcb2-4c3f-af4c-c3e6cbd576f3_Tag">
    <vt:lpwstr>10, 3, 0, 1</vt:lpwstr>
  </property>
  <property fmtid="{D5CDD505-2E9C-101B-9397-08002B2CF9AE}" pid="20" name="ClassificationContentMarkingHeaderShapeIds">
    <vt:lpwstr>55bd90ce</vt:lpwstr>
  </property>
  <property fmtid="{D5CDD505-2E9C-101B-9397-08002B2CF9AE}" pid="21" name="ClassificationWatermarkShapeIds">
    <vt:lpwstr>7ba9a7ac</vt:lpwstr>
  </property>
  <property fmtid="{D5CDD505-2E9C-101B-9397-08002B2CF9AE}" pid="22" name="MSIP_Label_545edad9-bcb2-4c3f-af4c-c3e6cbd576f3_Name">
    <vt:lpwstr>2 - Confidentiel (Interne)</vt:lpwstr>
  </property>
  <property fmtid="{D5CDD505-2E9C-101B-9397-08002B2CF9AE}" pid="23" name="MSIP_Label_545edad9-bcb2-4c3f-af4c-c3e6cbd576f3_ActionId">
    <vt:lpwstr>69d79904-f5a8-4c54-8bdb-9b1b20a8c42d</vt:lpwstr>
  </property>
  <property fmtid="{D5CDD505-2E9C-101B-9397-08002B2CF9AE}" pid="24" name="MSIP_Label_545edad9-bcb2-4c3f-af4c-c3e6cbd576f3_Method">
    <vt:lpwstr>Standard</vt:lpwstr>
  </property>
  <property fmtid="{D5CDD505-2E9C-101B-9397-08002B2CF9AE}" pid="25" name="MSIP_Label_545edad9-bcb2-4c3f-af4c-c3e6cbd576f3_SiteId">
    <vt:lpwstr>9c54d7cb-4d0a-402f-8014-be5d148fb287</vt:lpwstr>
  </property>
</Properties>
</file>